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jc w:val="center"/>
        <w:rPr>
          <w:sz w:val="56"/>
          <w:szCs w:val="56"/>
        </w:rPr>
      </w:pPr>
    </w:p>
    <w:p>
      <w:pPr>
        <w:pStyle w:val="15"/>
        <w:jc w:val="center"/>
        <w:rPr>
          <w:sz w:val="56"/>
          <w:szCs w:val="56"/>
        </w:rPr>
      </w:pPr>
    </w:p>
    <w:p>
      <w:pPr>
        <w:pStyle w:val="15"/>
        <w:jc w:val="center"/>
        <w:rPr>
          <w:sz w:val="84"/>
          <w:szCs w:val="84"/>
        </w:rPr>
      </w:pPr>
    </w:p>
    <w:p>
      <w:pPr>
        <w:pStyle w:val="15"/>
        <w:jc w:val="center"/>
        <w:rPr>
          <w:sz w:val="84"/>
          <w:szCs w:val="84"/>
        </w:rPr>
      </w:pPr>
    </w:p>
    <w:p>
      <w:pPr>
        <w:pStyle w:val="15"/>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4</w:t>
      </w:r>
      <w:r>
        <w:rPr>
          <w:rFonts w:hint="eastAsia" w:ascii="方正小标宋_GBK" w:hAnsi="方正小标宋_GBK" w:eastAsia="方正小标宋_GBK" w:cs="方正小标宋_GBK"/>
          <w:sz w:val="84"/>
          <w:szCs w:val="84"/>
        </w:rPr>
        <w:t>年度</w:t>
      </w:r>
    </w:p>
    <w:p>
      <w:pPr>
        <w:pStyle w:val="15"/>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eastAsia="zh-CN"/>
        </w:rPr>
        <w:t>岳阳市数据局</w:t>
      </w:r>
      <w:r>
        <w:rPr>
          <w:rFonts w:hint="eastAsia" w:ascii="方正小标宋_GBK" w:hAnsi="方正小标宋_GBK" w:eastAsia="方正小标宋_GBK" w:cs="方正小标宋_GBK"/>
          <w:sz w:val="84"/>
          <w:szCs w:val="84"/>
        </w:rPr>
        <w:t>部门决算</w:t>
      </w:r>
    </w:p>
    <w:p>
      <w:pPr>
        <w:pStyle w:val="15"/>
        <w:jc w:val="center"/>
        <w:rPr>
          <w:rFonts w:hint="eastAsia" w:ascii="方正小标宋_GBK" w:hAnsi="方正小标宋_GBK" w:eastAsia="方正小标宋_GBK" w:cs="方正小标宋_GBK"/>
          <w:sz w:val="56"/>
          <w:szCs w:val="56"/>
        </w:rPr>
      </w:pPr>
    </w:p>
    <w:p>
      <w:pPr>
        <w:pStyle w:val="15"/>
        <w:jc w:val="center"/>
        <w:rPr>
          <w:sz w:val="56"/>
          <w:szCs w:val="56"/>
        </w:rPr>
      </w:pPr>
    </w:p>
    <w:p>
      <w:pPr>
        <w:pStyle w:val="15"/>
        <w:jc w:val="center"/>
        <w:rPr>
          <w:sz w:val="56"/>
          <w:szCs w:val="56"/>
        </w:rPr>
      </w:pPr>
    </w:p>
    <w:p>
      <w:pPr>
        <w:pStyle w:val="15"/>
        <w:jc w:val="center"/>
        <w:rPr>
          <w:sz w:val="56"/>
          <w:szCs w:val="56"/>
        </w:rPr>
      </w:pPr>
    </w:p>
    <w:p>
      <w:pPr>
        <w:pStyle w:val="15"/>
        <w:jc w:val="center"/>
        <w:rPr>
          <w:sz w:val="32"/>
          <w:szCs w:val="32"/>
        </w:rPr>
      </w:pPr>
    </w:p>
    <w:p>
      <w:pPr>
        <w:pStyle w:val="15"/>
        <w:jc w:val="center"/>
        <w:rPr>
          <w:sz w:val="32"/>
          <w:szCs w:val="32"/>
        </w:rPr>
      </w:pPr>
    </w:p>
    <w:p>
      <w:pPr>
        <w:pStyle w:val="15"/>
        <w:jc w:val="center"/>
        <w:rPr>
          <w:sz w:val="32"/>
          <w:szCs w:val="32"/>
        </w:rPr>
      </w:pPr>
    </w:p>
    <w:p>
      <w:pPr>
        <w:pStyle w:val="15"/>
        <w:jc w:val="center"/>
        <w:rPr>
          <w:sz w:val="32"/>
          <w:szCs w:val="32"/>
        </w:rPr>
      </w:pPr>
    </w:p>
    <w:p>
      <w:pPr>
        <w:pStyle w:val="15"/>
        <w:jc w:val="center"/>
        <w:rPr>
          <w:sz w:val="32"/>
          <w:szCs w:val="32"/>
        </w:rPr>
      </w:pPr>
    </w:p>
    <w:p>
      <w:pPr>
        <w:pStyle w:val="15"/>
        <w:spacing w:line="540" w:lineRule="exact"/>
        <w:jc w:val="center"/>
        <w:rPr>
          <w:sz w:val="56"/>
          <w:szCs w:val="56"/>
        </w:rPr>
      </w:pPr>
    </w:p>
    <w:p>
      <w:pPr>
        <w:pStyle w:val="15"/>
        <w:spacing w:line="500" w:lineRule="exact"/>
        <w:jc w:val="both"/>
        <w:rPr>
          <w:b/>
          <w:sz w:val="36"/>
          <w:szCs w:val="28"/>
        </w:rPr>
      </w:pPr>
    </w:p>
    <w:p>
      <w:pPr>
        <w:pStyle w:val="15"/>
        <w:spacing w:line="500" w:lineRule="exact"/>
        <w:jc w:val="center"/>
        <w:rPr>
          <w:b/>
          <w:sz w:val="36"/>
          <w:szCs w:val="28"/>
        </w:rPr>
      </w:pPr>
      <w:r>
        <w:rPr>
          <w:rFonts w:hint="eastAsia"/>
          <w:b/>
          <w:sz w:val="36"/>
          <w:szCs w:val="28"/>
        </w:rPr>
        <w:t>目录</w:t>
      </w:r>
    </w:p>
    <w:p>
      <w:pPr>
        <w:pStyle w:val="15"/>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岳阳市数据局</w:t>
      </w:r>
      <w:r>
        <w:rPr>
          <w:rFonts w:hint="eastAsia" w:ascii="黑体" w:hAnsi="黑体" w:eastAsia="黑体" w:cs="黑体"/>
          <w:b w:val="0"/>
          <w:bCs/>
          <w:sz w:val="28"/>
          <w:szCs w:val="28"/>
        </w:rPr>
        <w:t>概况</w:t>
      </w:r>
    </w:p>
    <w:p>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pPr>
        <w:pStyle w:val="15"/>
        <w:spacing w:line="500" w:lineRule="exact"/>
        <w:ind w:firstLine="700" w:firstLineChars="25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二、机构设置</w:t>
      </w:r>
      <w:r>
        <w:rPr>
          <w:rFonts w:hint="eastAsia" w:ascii="仿宋_GB2312" w:hAnsi="仿宋_GB2312" w:eastAsia="仿宋_GB2312" w:cs="仿宋_GB2312"/>
          <w:sz w:val="28"/>
          <w:szCs w:val="28"/>
          <w:lang w:eastAsia="zh-CN"/>
        </w:rPr>
        <w:t>及决算单位构成</w:t>
      </w:r>
    </w:p>
    <w:p>
      <w:pPr>
        <w:pStyle w:val="15"/>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pPr>
        <w:pStyle w:val="15"/>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highlight w:val="yellow"/>
        </w:rPr>
      </w:pPr>
      <w:r>
        <w:rPr>
          <w:rFonts w:hint="eastAsia" w:ascii="仿宋_GB2312" w:hAnsi="仿宋_GB2312" w:eastAsia="仿宋_GB2312" w:cs="仿宋_GB2312"/>
          <w:color w:val="000000"/>
          <w:kern w:val="0"/>
          <w:sz w:val="28"/>
          <w:szCs w:val="28"/>
          <w:highlight w:val="none"/>
        </w:rPr>
        <w:t>八、</w:t>
      </w:r>
      <w:r>
        <w:rPr>
          <w:rFonts w:hint="eastAsia" w:ascii="仿宋_GB2312" w:hAnsi="仿宋_GB2312" w:eastAsia="仿宋_GB2312" w:cs="仿宋_GB2312"/>
          <w:sz w:val="28"/>
          <w:szCs w:val="28"/>
          <w:highlight w:val="none"/>
        </w:rPr>
        <w:t>国有资本经营预算财政拨款支出决算</w:t>
      </w:r>
      <w:r>
        <w:rPr>
          <w:rFonts w:hint="eastAsia" w:ascii="仿宋_GB2312" w:hAnsi="仿宋_GB2312" w:eastAsia="仿宋_GB2312" w:cs="仿宋_GB2312"/>
          <w:sz w:val="28"/>
          <w:szCs w:val="28"/>
          <w:highlight w:val="none"/>
          <w:lang w:eastAsia="zh-CN"/>
        </w:rPr>
        <w:t>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九、财政拨款三公经费支出决算情况说明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十、关于机关运行经费支出说明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十一、一般性支出情况说明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十二、</w:t>
      </w:r>
      <w:r>
        <w:rPr>
          <w:rFonts w:hint="eastAsia" w:ascii="仿宋_GB2312" w:hAnsi="仿宋_GB2312" w:eastAsia="仿宋_GB2312" w:cs="仿宋_GB2312"/>
          <w:color w:val="000000"/>
          <w:kern w:val="0"/>
          <w:sz w:val="28"/>
          <w:szCs w:val="28"/>
        </w:rPr>
        <w:t>关于政府采购支出说明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十三、关于国有资产占用情况说明</w:t>
      </w:r>
    </w:p>
    <w:p>
      <w:pPr>
        <w:pStyle w:val="15"/>
        <w:spacing w:line="500" w:lineRule="exact"/>
        <w:ind w:firstLine="700" w:firstLineChars="250"/>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SA"/>
        </w:rPr>
        <w:t>十四、</w:t>
      </w:r>
      <w:r>
        <w:rPr>
          <w:rFonts w:hint="eastAsia" w:ascii="仿宋_GB2312" w:hAnsi="仿宋_GB2312" w:eastAsia="仿宋_GB2312" w:cs="仿宋_GB2312"/>
          <w:sz w:val="28"/>
          <w:szCs w:val="28"/>
          <w:highlight w:val="none"/>
        </w:rPr>
        <w:t>关于</w:t>
      </w:r>
      <w:r>
        <w:rPr>
          <w:rFonts w:hint="default" w:ascii="Times New Roman" w:hAnsi="Times New Roman" w:eastAsia="仿宋_GB2312" w:cs="Times New Roman"/>
          <w:sz w:val="28"/>
          <w:szCs w:val="28"/>
          <w:highlight w:val="none"/>
        </w:rPr>
        <w:t>202</w:t>
      </w:r>
      <w:r>
        <w:rPr>
          <w:rFonts w:hint="eastAsia" w:ascii="Times New Roman" w:hAnsi="Times New Roman" w:eastAsia="仿宋_GB2312" w:cs="Times New Roman"/>
          <w:sz w:val="28"/>
          <w:szCs w:val="28"/>
          <w:highlight w:val="none"/>
          <w:lang w:val="en-US" w:eastAsia="zh-CN"/>
        </w:rPr>
        <w:t>4</w:t>
      </w:r>
      <w:r>
        <w:rPr>
          <w:rFonts w:hint="eastAsia" w:ascii="仿宋_GB2312" w:hAnsi="仿宋_GB2312" w:eastAsia="仿宋_GB2312" w:cs="仿宋_GB2312"/>
          <w:sz w:val="28"/>
          <w:szCs w:val="28"/>
          <w:highlight w:val="none"/>
        </w:rPr>
        <w:t>年度</w:t>
      </w:r>
      <w:r>
        <w:rPr>
          <w:rFonts w:hint="eastAsia" w:ascii="仿宋_GB2312" w:hAnsi="仿宋_GB2312" w:eastAsia="仿宋_GB2312" w:cs="仿宋_GB2312"/>
          <w:sz w:val="28"/>
          <w:szCs w:val="28"/>
          <w:highlight w:val="none"/>
          <w:lang w:eastAsia="zh-CN"/>
        </w:rPr>
        <w:t>预算</w:t>
      </w:r>
      <w:r>
        <w:rPr>
          <w:rFonts w:hint="eastAsia" w:ascii="仿宋_GB2312" w:hAnsi="仿宋_GB2312" w:eastAsia="仿宋_GB2312" w:cs="仿宋_GB2312"/>
          <w:sz w:val="28"/>
          <w:szCs w:val="28"/>
          <w:highlight w:val="none"/>
        </w:rPr>
        <w:t>绩效</w:t>
      </w:r>
      <w:r>
        <w:rPr>
          <w:rFonts w:hint="eastAsia" w:ascii="仿宋_GB2312" w:hAnsi="仿宋_GB2312" w:eastAsia="仿宋_GB2312" w:cs="仿宋_GB2312"/>
          <w:sz w:val="28"/>
          <w:szCs w:val="28"/>
          <w:highlight w:val="none"/>
          <w:lang w:eastAsia="zh-CN"/>
        </w:rPr>
        <w:t>管理</w:t>
      </w:r>
      <w:r>
        <w:rPr>
          <w:rFonts w:hint="eastAsia" w:ascii="仿宋_GB2312" w:hAnsi="仿宋_GB2312" w:eastAsia="仿宋_GB2312" w:cs="仿宋_GB2312"/>
          <w:sz w:val="28"/>
          <w:szCs w:val="28"/>
          <w:highlight w:val="none"/>
        </w:rPr>
        <w:t>情况的说明</w:t>
      </w:r>
    </w:p>
    <w:p>
      <w:pPr>
        <w:pStyle w:val="15"/>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pPr>
        <w:pStyle w:val="15"/>
        <w:spacing w:line="500" w:lineRule="exact"/>
        <w:rPr>
          <w:rFonts w:hint="eastAsia" w:ascii="黑体" w:hAnsi="黑体" w:eastAsia="黑体" w:cs="黑体"/>
          <w:b w:val="0"/>
          <w:bCs/>
          <w:sz w:val="28"/>
          <w:szCs w:val="28"/>
          <w:lang w:eastAsia="zh-CN"/>
        </w:rPr>
      </w:pPr>
      <w:r>
        <w:rPr>
          <w:rFonts w:hint="eastAsia" w:ascii="黑体" w:hAnsi="黑体" w:eastAsia="黑体" w:cs="黑体"/>
          <w:b w:val="0"/>
          <w:bCs/>
          <w:sz w:val="28"/>
          <w:szCs w:val="28"/>
        </w:rPr>
        <w:t>第</w:t>
      </w:r>
      <w:r>
        <w:rPr>
          <w:rFonts w:hint="eastAsia" w:hAnsi="黑体" w:cs="黑体"/>
          <w:b w:val="0"/>
          <w:bCs/>
          <w:sz w:val="28"/>
          <w:szCs w:val="28"/>
          <w:lang w:eastAsia="zh-CN"/>
        </w:rPr>
        <w:t>五</w:t>
      </w:r>
      <w:r>
        <w:rPr>
          <w:rFonts w:hint="eastAsia" w:ascii="黑体" w:hAnsi="黑体" w:eastAsia="黑体" w:cs="黑体"/>
          <w:b w:val="0"/>
          <w:bCs/>
          <w:sz w:val="28"/>
          <w:szCs w:val="28"/>
        </w:rPr>
        <w:t>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附件</w:t>
      </w:r>
    </w:p>
    <w:p>
      <w:pPr>
        <w:pStyle w:val="15"/>
        <w:jc w:val="center"/>
        <w:rPr>
          <w:rFonts w:hint="eastAsia" w:ascii="方正小标宋_GBK" w:hAnsi="方正小标宋_GBK" w:eastAsia="方正小标宋_GBK" w:cs="方正小标宋_GBK"/>
          <w:sz w:val="84"/>
          <w:szCs w:val="84"/>
        </w:rPr>
      </w:pPr>
    </w:p>
    <w:p>
      <w:pPr>
        <w:pStyle w:val="15"/>
        <w:jc w:val="center"/>
        <w:rPr>
          <w:rFonts w:hint="eastAsia" w:ascii="方正小标宋_GBK" w:hAnsi="方正小标宋_GBK" w:eastAsia="方正小标宋_GBK" w:cs="方正小标宋_GBK"/>
          <w:sz w:val="84"/>
          <w:szCs w:val="84"/>
        </w:rPr>
      </w:pPr>
    </w:p>
    <w:p>
      <w:pPr>
        <w:pStyle w:val="15"/>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pPr>
        <w:pStyle w:val="15"/>
        <w:jc w:val="center"/>
        <w:rPr>
          <w:rFonts w:hint="eastAsia" w:ascii="方正小标宋_GBK" w:hAnsi="方正小标宋_GBK" w:eastAsia="方正小标宋_GBK" w:cs="方正小标宋_GBK"/>
          <w:sz w:val="84"/>
          <w:szCs w:val="84"/>
        </w:rPr>
      </w:pPr>
    </w:p>
    <w:p>
      <w:pPr>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eastAsia="zh-CN"/>
        </w:rPr>
        <w:t>岳阳市数据局</w:t>
      </w:r>
      <w:r>
        <w:rPr>
          <w:rFonts w:hint="eastAsia" w:ascii="方正小标宋_GBK" w:hAnsi="方正小标宋_GBK" w:eastAsia="方正小标宋_GBK" w:cs="方正小标宋_GBK"/>
          <w:sz w:val="84"/>
          <w:szCs w:val="84"/>
        </w:rPr>
        <w:t>概况</w:t>
      </w:r>
    </w:p>
    <w:p>
      <w:pPr>
        <w:pStyle w:val="8"/>
        <w:rPr>
          <w:rFonts w:hint="eastAsia" w:ascii="方正小标宋_GBK" w:hAnsi="方正小标宋_GBK" w:eastAsia="方正小标宋_GBK" w:cs="方正小标宋_GBK"/>
          <w:sz w:val="84"/>
          <w:szCs w:val="84"/>
        </w:rPr>
      </w:pPr>
    </w:p>
    <w:p>
      <w:pPr>
        <w:pStyle w:val="4"/>
        <w:rPr>
          <w:rFonts w:hint="eastAsia" w:ascii="方正小标宋_GBK" w:hAnsi="方正小标宋_GBK" w:eastAsia="方正小标宋_GBK" w:cs="方正小标宋_GBK"/>
          <w:sz w:val="84"/>
          <w:szCs w:val="84"/>
        </w:rPr>
      </w:pPr>
    </w:p>
    <w:p>
      <w:pPr>
        <w:rPr>
          <w:rFonts w:hint="eastAsia" w:ascii="方正小标宋_GBK" w:hAnsi="方正小标宋_GBK" w:eastAsia="方正小标宋_GBK" w:cs="方正小标宋_GBK"/>
          <w:sz w:val="84"/>
          <w:szCs w:val="84"/>
        </w:rPr>
      </w:pPr>
    </w:p>
    <w:p>
      <w:pPr>
        <w:pStyle w:val="8"/>
        <w:rPr>
          <w:rFonts w:hint="eastAsia" w:ascii="方正小标宋_GBK" w:hAnsi="方正小标宋_GBK" w:eastAsia="方正小标宋_GBK" w:cs="方正小标宋_GBK"/>
          <w:sz w:val="84"/>
          <w:szCs w:val="84"/>
        </w:rPr>
      </w:pPr>
    </w:p>
    <w:p>
      <w:pPr>
        <w:pStyle w:val="4"/>
        <w:rPr>
          <w:rFonts w:hint="eastAsia" w:ascii="方正小标宋_GBK" w:hAnsi="方正小标宋_GBK" w:eastAsia="方正小标宋_GBK" w:cs="方正小标宋_GBK"/>
          <w:sz w:val="84"/>
          <w:szCs w:val="84"/>
        </w:rPr>
      </w:pPr>
    </w:p>
    <w:p>
      <w:pPr>
        <w:pStyle w:val="16"/>
        <w:numPr>
          <w:numId w:val="0"/>
        </w:numPr>
        <w:ind w:left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lang w:val="en-US" w:eastAsia="zh-CN"/>
        </w:rPr>
        <w:t xml:space="preserve">    一、</w:t>
      </w:r>
      <w:r>
        <w:rPr>
          <w:rFonts w:hint="eastAsia" w:ascii="黑体" w:hAnsi="黑体" w:eastAsia="黑体" w:cs="黑体"/>
          <w:b w:val="0"/>
          <w:bCs w:val="0"/>
          <w:sz w:val="32"/>
          <w:szCs w:val="32"/>
        </w:rPr>
        <w:t>部门职责</w:t>
      </w:r>
    </w:p>
    <w:p>
      <w:pPr>
        <w:spacing w:line="630" w:lineRule="exact"/>
        <w:ind w:firstLine="640" w:firstLineChars="200"/>
        <w:rPr>
          <w:rFonts w:hint="eastAsia" w:ascii="仿宋_GB2312" w:hAnsi="仿宋_GB2312" w:eastAsia="仿宋_GB2312" w:cs="仿宋_GB2312"/>
          <w:sz w:val="32"/>
          <w:szCs w:val="32"/>
        </w:rPr>
      </w:pPr>
      <w:r>
        <w:rPr>
          <w:rFonts w:hint="eastAsia" w:ascii="Times New Roman" w:hAnsi="Times New Roman" w:eastAsia="仿宋_GB2312" w:cs="仿宋_GB2312"/>
          <w:sz w:val="32"/>
          <w:szCs w:val="32"/>
        </w:rPr>
        <w:t>（一）</w:t>
      </w:r>
      <w:r>
        <w:rPr>
          <w:rFonts w:hint="eastAsia" w:ascii="仿宋_GB2312" w:hAnsi="仿宋_GB2312" w:eastAsia="仿宋_GB2312" w:cs="仿宋_GB2312"/>
          <w:sz w:val="32"/>
          <w:szCs w:val="32"/>
        </w:rPr>
        <w:t>负责统筹推进数字岳阳、数字经济、数字政务、数字社会规划和建设，组织实施全市大数据战略，协调推动公共服务和社会治理信息化，协调促进智慧城市建设。</w:t>
      </w:r>
    </w:p>
    <w:p>
      <w:pPr>
        <w:spacing w:line="6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协调推进数据要素产权、流通、分配、治理等数据基础制度建设，指导数据要素市场建设，牵头拟订相关规章草案和地方指标标准规范。研究提出培育数据要素市场的政策建议，引导数据交易场所建设发展。</w:t>
      </w:r>
    </w:p>
    <w:p>
      <w:pPr>
        <w:spacing w:line="63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组织拟订有关数字基础设施布局规划，协调推进数字基础设施布局建设。负责统筹推进数字政务基础底座的建设管理。</w:t>
      </w:r>
    </w:p>
    <w:p>
      <w:pPr>
        <w:spacing w:line="6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统筹数据资源整合共享和开发利用。协调推进数据资源分类分级管理，组织推动公共数据资源开发利用，推动数据资源跨行业跨部门互联互通。统筹推进全市数据领域国际和区域合作。</w:t>
      </w:r>
    </w:p>
    <w:p>
      <w:pPr>
        <w:spacing w:line="6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（五）</w:t>
      </w:r>
      <w:r>
        <w:rPr>
          <w:rFonts w:hint="eastAsia" w:ascii="仿宋_GB2312" w:hAnsi="仿宋_GB2312" w:eastAsia="仿宋_GB2312" w:cs="仿宋_GB2312"/>
          <w:sz w:val="32"/>
          <w:szCs w:val="32"/>
        </w:rPr>
        <w:t>统筹推动数字经济发展，促进数字产业化和产业数字化。推动跨领域跨行业数字化转型，促进数字经济和实体经济深度融合。</w:t>
      </w:r>
    </w:p>
    <w:p>
      <w:pPr>
        <w:spacing w:line="6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（六）</w:t>
      </w:r>
      <w:r>
        <w:rPr>
          <w:rFonts w:hint="eastAsia" w:ascii="仿宋_GB2312" w:hAnsi="仿宋_GB2312" w:eastAsia="仿宋_GB2312" w:cs="仿宋_GB2312"/>
          <w:sz w:val="32"/>
          <w:szCs w:val="32"/>
        </w:rPr>
        <w:t>协调推进数据领域核心技术、关键设备等重大科技攻关，协同推动数据要素相关学科专业体系和人才队伍建设。</w:t>
      </w:r>
    </w:p>
    <w:p>
      <w:pPr>
        <w:spacing w:line="6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（七）</w:t>
      </w:r>
      <w:r>
        <w:rPr>
          <w:rFonts w:hint="eastAsia" w:ascii="仿宋_GB2312" w:hAnsi="仿宋_GB2312" w:eastAsia="仿宋_GB2312" w:cs="仿宋_GB2312"/>
          <w:sz w:val="32"/>
          <w:szCs w:val="32"/>
        </w:rPr>
        <w:t>在具体承担数据制度建设、数据要素市场建设、数据标准规范、数据基础设施建设等职责中，履行相应数据安全职责，负责拟订相关数据安全政策并组织实施。</w:t>
      </w:r>
    </w:p>
    <w:p>
      <w:pPr>
        <w:spacing w:line="6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（八）</w:t>
      </w:r>
      <w:r>
        <w:rPr>
          <w:rFonts w:hint="eastAsia" w:ascii="仿宋_GB2312" w:hAnsi="仿宋_GB2312" w:eastAsia="仿宋_GB2312" w:cs="仿宋_GB2312"/>
          <w:sz w:val="32"/>
          <w:szCs w:val="32"/>
        </w:rPr>
        <w:t>协同市委网络安全和信息化委员会办公室开展网络数据跨境流动安全评估和监管工作。</w:t>
      </w:r>
    </w:p>
    <w:p>
      <w:pPr>
        <w:spacing w:line="6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（九）</w:t>
      </w:r>
      <w:r>
        <w:rPr>
          <w:rFonts w:hint="eastAsia" w:ascii="仿宋_GB2312" w:hAnsi="仿宋_GB2312" w:eastAsia="仿宋_GB2312" w:cs="仿宋_GB2312"/>
          <w:sz w:val="32"/>
          <w:szCs w:val="32"/>
        </w:rPr>
        <w:t>统筹协调、规划指导、监督评估全市政府系统电子政务工作。组织协调全市信息化项目的规划、计划、管理工作。组织实施全市数字政务相关规划，统筹推进全市数字政务的应用创新。承担市级信息化项目初步设计批复、建设工程管理、技术方案审查、竣工验收、运行后评价、绩效评估工作。</w:t>
      </w:r>
    </w:p>
    <w:p>
      <w:pPr>
        <w:widowControl/>
        <w:spacing w:line="600" w:lineRule="exact"/>
        <w:ind w:firstLine="640" w:firstLineChars="200"/>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pPr>
        <w:widowControl/>
        <w:spacing w:line="600" w:lineRule="exact"/>
        <w:ind w:firstLine="640" w:firstLineChars="200"/>
        <w:rPr>
          <w:rFonts w:hint="default" w:ascii="Times New Roman" w:hAnsi="Times New Roman" w:eastAsia="仿宋_GB2312" w:cs="仿宋_GB2312"/>
          <w:bCs/>
          <w:kern w:val="0"/>
          <w:sz w:val="32"/>
          <w:szCs w:val="32"/>
          <w:lang w:val="en-US" w:eastAsia="zh-CN"/>
        </w:rPr>
      </w:pPr>
      <w:r>
        <w:rPr>
          <w:rFonts w:hint="eastAsia" w:ascii="Times New Roman" w:hAnsi="Times New Roman" w:eastAsia="仿宋_GB2312" w:cs="仿宋_GB2312"/>
          <w:bCs/>
          <w:kern w:val="0"/>
          <w:sz w:val="32"/>
          <w:szCs w:val="32"/>
        </w:rPr>
        <w:t>（一）内设机构设置。</w:t>
      </w:r>
      <w:r>
        <w:rPr>
          <w:rFonts w:hint="eastAsia" w:ascii="Times New Roman" w:hAnsi="Times New Roman" w:eastAsia="仿宋_GB2312" w:cs="仿宋_GB2312"/>
          <w:bCs/>
          <w:kern w:val="0"/>
          <w:sz w:val="32"/>
          <w:szCs w:val="32"/>
          <w:lang w:eastAsia="zh-CN"/>
        </w:rPr>
        <w:t>岳阳市数据局</w:t>
      </w:r>
      <w:r>
        <w:rPr>
          <w:rFonts w:hint="eastAsia" w:ascii="Times New Roman" w:hAnsi="Times New Roman" w:eastAsia="仿宋_GB2312" w:cs="仿宋_GB2312"/>
          <w:bCs/>
          <w:kern w:val="0"/>
          <w:sz w:val="32"/>
          <w:szCs w:val="32"/>
        </w:rPr>
        <w:t>单位内设机构包括：</w:t>
      </w:r>
      <w:r>
        <w:rPr>
          <w:rFonts w:hint="eastAsia" w:ascii="Times New Roman" w:hAnsi="Times New Roman" w:eastAsia="仿宋_GB2312" w:cs="仿宋_GB2312"/>
          <w:bCs/>
          <w:kern w:val="0"/>
          <w:sz w:val="32"/>
          <w:szCs w:val="32"/>
          <w:lang w:eastAsia="zh-CN"/>
        </w:rPr>
        <w:t>岳阳市数据局本级</w:t>
      </w:r>
      <w:r>
        <w:rPr>
          <w:rFonts w:hint="eastAsia" w:ascii="Times New Roman" w:hAnsi="Times New Roman" w:eastAsia="仿宋_GB2312" w:cs="仿宋_GB2312"/>
          <w:sz w:val="32"/>
          <w:szCs w:val="32"/>
        </w:rPr>
        <w:t>内设科室</w:t>
      </w:r>
      <w:r>
        <w:rPr>
          <w:rFonts w:hint="eastAsia" w:ascii="Times New Roman" w:hAnsi="Times New Roman" w:eastAsia="仿宋_GB2312" w:cs="仿宋_GB2312"/>
          <w:sz w:val="32"/>
          <w:szCs w:val="32"/>
          <w:lang w:val="en-US" w:eastAsia="zh-CN"/>
        </w:rPr>
        <w:t>4个，</w:t>
      </w:r>
      <w:r>
        <w:rPr>
          <w:rFonts w:hint="eastAsia" w:ascii="Times New Roman" w:hAnsi="Times New Roman" w:eastAsia="仿宋_GB2312" w:cs="仿宋_GB2312"/>
          <w:sz w:val="32"/>
          <w:szCs w:val="32"/>
        </w:rPr>
        <w:t>分别是办公室、数据资源科、</w:t>
      </w:r>
      <w:r>
        <w:rPr>
          <w:rFonts w:hint="eastAsia" w:ascii="仿宋_GB2312" w:hAnsi="仿宋_GB2312" w:eastAsia="仿宋_GB2312" w:cs="仿宋_GB2312"/>
          <w:sz w:val="32"/>
          <w:szCs w:val="32"/>
        </w:rPr>
        <w:t>数字经济和基础设施</w:t>
      </w:r>
      <w:r>
        <w:rPr>
          <w:rFonts w:hint="eastAsia" w:ascii="Times New Roman" w:hAnsi="Times New Roman" w:eastAsia="仿宋_GB2312" w:cs="仿宋_GB2312"/>
          <w:sz w:val="32"/>
          <w:szCs w:val="32"/>
        </w:rPr>
        <w:t>科、</w:t>
      </w:r>
      <w:r>
        <w:rPr>
          <w:rFonts w:hint="eastAsia" w:ascii="仿宋_GB2312" w:hAnsi="仿宋_GB2312" w:eastAsia="仿宋_GB2312" w:cs="仿宋_GB2312"/>
          <w:sz w:val="32"/>
          <w:szCs w:val="32"/>
        </w:rPr>
        <w:t>应用建设</w:t>
      </w:r>
      <w:r>
        <w:rPr>
          <w:rFonts w:hint="eastAsia" w:ascii="Times New Roman" w:hAnsi="Times New Roman" w:eastAsia="仿宋_GB2312" w:cs="仿宋_GB2312"/>
          <w:sz w:val="32"/>
          <w:szCs w:val="32"/>
        </w:rPr>
        <w:t>科</w:t>
      </w:r>
      <w:r>
        <w:rPr>
          <w:rFonts w:hint="eastAsia" w:ascii="Times New Roman" w:hAnsi="Times New Roman" w:eastAsia="仿宋_GB2312" w:cs="仿宋_GB2312"/>
          <w:sz w:val="32"/>
          <w:szCs w:val="32"/>
          <w:lang w:eastAsia="zh-CN"/>
        </w:rPr>
        <w:t>；二级机构</w:t>
      </w:r>
      <w:r>
        <w:rPr>
          <w:rFonts w:hint="eastAsia" w:ascii="Times New Roman" w:hAnsi="Times New Roman" w:eastAsia="仿宋_GB2312" w:cs="仿宋_GB2312"/>
          <w:sz w:val="32"/>
          <w:szCs w:val="32"/>
          <w:lang w:val="en-US" w:eastAsia="zh-CN"/>
        </w:rPr>
        <w:t>1个（财务未单列），是岳阳市大数据中心。</w:t>
      </w:r>
    </w:p>
    <w:p>
      <w:pPr>
        <w:widowControl/>
        <w:spacing w:line="600" w:lineRule="exact"/>
        <w:ind w:firstLine="640" w:firstLineChars="200"/>
        <w:rPr>
          <w:rFonts w:hint="eastAsia" w:ascii="Times New Roman" w:hAnsi="Times New Roman" w:eastAsia="仿宋_GB2312" w:cs="仿宋_GB2312"/>
          <w:bCs/>
          <w:kern w:val="0"/>
          <w:sz w:val="32"/>
          <w:szCs w:val="32"/>
          <w:lang w:eastAsia="zh-CN"/>
        </w:rPr>
      </w:pPr>
      <w:r>
        <w:rPr>
          <w:rFonts w:hint="eastAsia" w:ascii="Times New Roman" w:hAnsi="Times New Roman" w:eastAsia="仿宋_GB2312" w:cs="仿宋_GB2312"/>
          <w:bCs/>
          <w:kern w:val="0"/>
          <w:sz w:val="32"/>
          <w:szCs w:val="32"/>
        </w:rPr>
        <w:t>（二）决算单位构成。</w:t>
      </w:r>
      <w:r>
        <w:rPr>
          <w:rFonts w:hint="eastAsia" w:ascii="Times New Roman" w:hAnsi="Times New Roman" w:eastAsia="仿宋_GB2312" w:cs="仿宋_GB2312"/>
          <w:bCs/>
          <w:kern w:val="0"/>
          <w:sz w:val="32"/>
          <w:szCs w:val="32"/>
          <w:lang w:eastAsia="zh-CN"/>
        </w:rPr>
        <w:t>本</w:t>
      </w:r>
      <w:r>
        <w:rPr>
          <w:rFonts w:hint="eastAsia" w:ascii="Times New Roman" w:hAnsi="Times New Roman" w:eastAsia="仿宋_GB2312" w:cs="仿宋_GB2312"/>
          <w:bCs/>
          <w:kern w:val="0"/>
          <w:sz w:val="32"/>
          <w:szCs w:val="32"/>
        </w:rPr>
        <w:t>单位202</w:t>
      </w:r>
      <w:r>
        <w:rPr>
          <w:rFonts w:hint="eastAsia" w:ascii="Times New Roman" w:hAnsi="Times New Roman" w:eastAsia="仿宋_GB2312" w:cs="仿宋_GB2312"/>
          <w:bCs/>
          <w:kern w:val="0"/>
          <w:sz w:val="32"/>
          <w:szCs w:val="32"/>
          <w:lang w:val="en-US" w:eastAsia="zh-CN"/>
        </w:rPr>
        <w:t>4</w:t>
      </w:r>
      <w:r>
        <w:rPr>
          <w:rFonts w:hint="eastAsia" w:ascii="Times New Roman" w:hAnsi="Times New Roman" w:eastAsia="仿宋_GB2312" w:cs="仿宋_GB2312"/>
          <w:bCs/>
          <w:kern w:val="0"/>
          <w:sz w:val="32"/>
          <w:szCs w:val="32"/>
        </w:rPr>
        <w:t>年部门决算汇总公开单位构成包括：</w:t>
      </w:r>
      <w:r>
        <w:rPr>
          <w:rFonts w:hint="eastAsia" w:ascii="Times New Roman" w:hAnsi="Times New Roman" w:eastAsia="仿宋_GB2312" w:cs="仿宋_GB2312"/>
          <w:bCs/>
          <w:kern w:val="0"/>
          <w:sz w:val="32"/>
          <w:szCs w:val="32"/>
          <w:lang w:eastAsia="zh-CN"/>
        </w:rPr>
        <w:t>岳阳市数据局单位本级以及财务未单列的二级机构岳阳市大数据中心。</w:t>
      </w:r>
    </w:p>
    <w:p>
      <w:pPr>
        <w:pStyle w:val="8"/>
      </w:pPr>
    </w:p>
    <w:p>
      <w:pPr>
        <w:pStyle w:val="4"/>
      </w:pPr>
    </w:p>
    <w:p/>
    <w:p>
      <w:pPr>
        <w:pStyle w:val="8"/>
      </w:pPr>
    </w:p>
    <w:p>
      <w:pPr>
        <w:pStyle w:val="4"/>
      </w:pPr>
    </w:p>
    <w:p/>
    <w:p>
      <w:pPr>
        <w:pStyle w:val="8"/>
      </w:pPr>
    </w:p>
    <w:p>
      <w:pPr>
        <w:pStyle w:val="4"/>
      </w:pPr>
    </w:p>
    <w:p/>
    <w:p>
      <w:pPr>
        <w:pStyle w:val="8"/>
      </w:pPr>
    </w:p>
    <w:p>
      <w:pPr>
        <w:pStyle w:val="4"/>
      </w:pPr>
    </w:p>
    <w:p/>
    <w:p>
      <w:pPr>
        <w:pStyle w:val="8"/>
      </w:pPr>
    </w:p>
    <w:p>
      <w:pPr>
        <w:pStyle w:val="4"/>
      </w:pPr>
    </w:p>
    <w:p/>
    <w:p>
      <w:pPr>
        <w:pStyle w:val="8"/>
      </w:pPr>
    </w:p>
    <w:p>
      <w:pPr>
        <w:pStyle w:val="4"/>
      </w:pPr>
    </w:p>
    <w:p/>
    <w:p>
      <w:pPr>
        <w:pStyle w:val="8"/>
      </w:pPr>
    </w:p>
    <w:p>
      <w:pPr>
        <w:pStyle w:val="4"/>
      </w:pPr>
    </w:p>
    <w:p/>
    <w:p>
      <w:pPr>
        <w:pStyle w:val="8"/>
      </w:pPr>
    </w:p>
    <w:p>
      <w:pPr>
        <w:pStyle w:val="4"/>
      </w:pPr>
    </w:p>
    <w:p/>
    <w:p>
      <w:pPr>
        <w:pStyle w:val="15"/>
        <w:jc w:val="center"/>
        <w:rPr>
          <w:rFonts w:hint="eastAsia" w:ascii="方正小标宋_GBK" w:hAnsi="方正小标宋_GBK" w:eastAsia="方正小标宋_GBK" w:cs="方正小标宋_GBK"/>
          <w:sz w:val="84"/>
          <w:szCs w:val="84"/>
        </w:rPr>
      </w:pPr>
    </w:p>
    <w:p>
      <w:pPr>
        <w:pStyle w:val="15"/>
        <w:jc w:val="center"/>
        <w:rPr>
          <w:rFonts w:hint="eastAsia" w:ascii="方正小标宋_GBK" w:hAnsi="方正小标宋_GBK" w:eastAsia="方正小标宋_GBK" w:cs="方正小标宋_GBK"/>
          <w:sz w:val="84"/>
          <w:szCs w:val="84"/>
        </w:rPr>
      </w:pPr>
    </w:p>
    <w:p>
      <w:pPr>
        <w:pStyle w:val="15"/>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pPr>
        <w:pStyle w:val="15"/>
        <w:jc w:val="center"/>
        <w:rPr>
          <w:rFonts w:hint="eastAsia" w:ascii="方正小标宋_GBK" w:hAnsi="方正小标宋_GBK" w:eastAsia="方正小标宋_GBK" w:cs="方正小标宋_GBK"/>
          <w:sz w:val="84"/>
          <w:szCs w:val="84"/>
        </w:rPr>
      </w:pPr>
    </w:p>
    <w:p>
      <w:pPr>
        <w:pStyle w:val="15"/>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pPr>
        <w:pStyle w:val="15"/>
        <w:jc w:val="center"/>
        <w:rPr>
          <w:rFonts w:hint="eastAsia" w:ascii="仿宋_GB2312" w:hAnsi="仿宋_GB2312" w:eastAsia="仿宋_GB2312" w:cs="仿宋_GB2312"/>
          <w:b w:val="0"/>
          <w:bCs w:val="0"/>
          <w:sz w:val="72"/>
          <w:szCs w:val="72"/>
          <w:lang w:eastAsia="zh-CN"/>
        </w:rPr>
      </w:pPr>
      <w:r>
        <w:rPr>
          <w:rFonts w:hint="eastAsia" w:ascii="仿宋_GB2312" w:hAnsi="仿宋_GB2312" w:eastAsia="仿宋_GB2312" w:cs="仿宋_GB2312"/>
          <w:b w:val="0"/>
          <w:bCs w:val="0"/>
          <w:sz w:val="72"/>
          <w:szCs w:val="72"/>
          <w:lang w:eastAsia="zh-CN"/>
        </w:rPr>
        <w:t>（见附件）</w:t>
      </w:r>
    </w:p>
    <w:p>
      <w:pPr>
        <w:pStyle w:val="15"/>
        <w:jc w:val="center"/>
        <w:rPr>
          <w:rFonts w:hint="eastAsia" w:ascii="仿宋_GB2312" w:hAnsi="仿宋_GB2312" w:eastAsia="仿宋_GB2312" w:cs="仿宋_GB2312"/>
          <w:b w:val="0"/>
          <w:bCs w:val="0"/>
          <w:sz w:val="72"/>
          <w:szCs w:val="72"/>
          <w:lang w:eastAsia="zh-CN"/>
        </w:rPr>
      </w:pPr>
    </w:p>
    <w:p>
      <w:pPr>
        <w:pStyle w:val="15"/>
        <w:jc w:val="center"/>
        <w:rPr>
          <w:rFonts w:hint="eastAsia" w:ascii="仿宋_GB2312" w:hAnsi="仿宋_GB2312" w:eastAsia="仿宋_GB2312" w:cs="仿宋_GB2312"/>
          <w:b w:val="0"/>
          <w:bCs w:val="0"/>
          <w:sz w:val="72"/>
          <w:szCs w:val="72"/>
          <w:lang w:eastAsia="zh-CN"/>
        </w:rPr>
      </w:pPr>
    </w:p>
    <w:p>
      <w:pPr>
        <w:pStyle w:val="15"/>
        <w:jc w:val="center"/>
        <w:rPr>
          <w:rFonts w:hint="eastAsia" w:ascii="仿宋_GB2312" w:hAnsi="仿宋_GB2312" w:eastAsia="仿宋_GB2312" w:cs="仿宋_GB2312"/>
          <w:b w:val="0"/>
          <w:bCs w:val="0"/>
          <w:sz w:val="72"/>
          <w:szCs w:val="72"/>
          <w:lang w:eastAsia="zh-CN"/>
        </w:rPr>
      </w:pPr>
    </w:p>
    <w:p>
      <w:pPr>
        <w:pStyle w:val="15"/>
        <w:jc w:val="center"/>
        <w:rPr>
          <w:rFonts w:hint="eastAsia" w:ascii="仿宋_GB2312" w:hAnsi="仿宋_GB2312" w:eastAsia="仿宋_GB2312" w:cs="仿宋_GB2312"/>
          <w:b w:val="0"/>
          <w:bCs w:val="0"/>
          <w:sz w:val="72"/>
          <w:szCs w:val="72"/>
          <w:lang w:eastAsia="zh-CN"/>
        </w:rPr>
      </w:pPr>
    </w:p>
    <w:p>
      <w:pPr>
        <w:pStyle w:val="15"/>
        <w:jc w:val="center"/>
        <w:rPr>
          <w:rFonts w:hint="eastAsia" w:ascii="仿宋_GB2312" w:hAnsi="仿宋_GB2312" w:eastAsia="仿宋_GB2312" w:cs="仿宋_GB2312"/>
          <w:b w:val="0"/>
          <w:bCs w:val="0"/>
          <w:sz w:val="72"/>
          <w:szCs w:val="72"/>
          <w:lang w:eastAsia="zh-CN"/>
        </w:rPr>
      </w:pPr>
    </w:p>
    <w:p>
      <w:pPr>
        <w:pStyle w:val="15"/>
        <w:jc w:val="center"/>
        <w:rPr>
          <w:rFonts w:hint="eastAsia" w:ascii="仿宋_GB2312" w:hAnsi="仿宋_GB2312" w:eastAsia="仿宋_GB2312" w:cs="仿宋_GB2312"/>
          <w:b w:val="0"/>
          <w:bCs w:val="0"/>
          <w:sz w:val="72"/>
          <w:szCs w:val="72"/>
          <w:lang w:eastAsia="zh-CN"/>
        </w:rPr>
      </w:pPr>
    </w:p>
    <w:p>
      <w:pPr>
        <w:pStyle w:val="15"/>
        <w:jc w:val="center"/>
        <w:rPr>
          <w:rFonts w:hint="eastAsia" w:ascii="仿宋_GB2312" w:hAnsi="仿宋_GB2312" w:eastAsia="仿宋_GB2312" w:cs="仿宋_GB2312"/>
          <w:b w:val="0"/>
          <w:bCs w:val="0"/>
          <w:sz w:val="72"/>
          <w:szCs w:val="72"/>
          <w:lang w:eastAsia="zh-CN"/>
        </w:rPr>
      </w:pPr>
    </w:p>
    <w:p>
      <w:pPr>
        <w:pStyle w:val="15"/>
        <w:jc w:val="center"/>
        <w:rPr>
          <w:rFonts w:hint="eastAsia" w:ascii="方正小标宋_GBK" w:hAnsi="方正小标宋_GBK" w:eastAsia="方正小标宋_GBK" w:cs="方正小标宋_GBK"/>
          <w:sz w:val="72"/>
          <w:szCs w:val="72"/>
        </w:rPr>
      </w:pPr>
    </w:p>
    <w:p>
      <w:pPr>
        <w:pStyle w:val="15"/>
        <w:jc w:val="center"/>
        <w:rPr>
          <w:rFonts w:hint="eastAsia" w:ascii="方正小标宋_GBK" w:hAnsi="方正小标宋_GBK" w:eastAsia="方正小标宋_GBK" w:cs="方正小标宋_GBK"/>
          <w:sz w:val="72"/>
          <w:szCs w:val="72"/>
        </w:rPr>
      </w:pPr>
    </w:p>
    <w:p>
      <w:pPr>
        <w:pStyle w:val="15"/>
        <w:jc w:val="both"/>
        <w:rPr>
          <w:rFonts w:hint="eastAsia" w:ascii="方正小标宋_GBK" w:hAnsi="方正小标宋_GBK" w:eastAsia="方正小标宋_GBK" w:cs="方正小标宋_GBK"/>
          <w:sz w:val="72"/>
          <w:szCs w:val="72"/>
        </w:rPr>
      </w:pPr>
    </w:p>
    <w:p>
      <w:pPr>
        <w:pStyle w:val="15"/>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pPr>
        <w:pStyle w:val="15"/>
        <w:jc w:val="center"/>
        <w:rPr>
          <w:rFonts w:hint="eastAsia" w:ascii="方正小标宋_GBK" w:hAnsi="方正小标宋_GBK" w:eastAsia="方正小标宋_GBK" w:cs="方正小标宋_GBK"/>
          <w:sz w:val="70"/>
          <w:szCs w:val="70"/>
        </w:rPr>
      </w:pPr>
    </w:p>
    <w:p>
      <w:pPr>
        <w:pStyle w:val="15"/>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4</w:t>
      </w:r>
      <w:r>
        <w:rPr>
          <w:rFonts w:hint="eastAsia" w:ascii="方正小标宋_GBK" w:hAnsi="方正小标宋_GBK" w:eastAsia="方正小标宋_GBK" w:cs="方正小标宋_GBK"/>
          <w:sz w:val="70"/>
          <w:szCs w:val="70"/>
        </w:rPr>
        <w:t>年度部门决算情况说明</w:t>
      </w:r>
    </w:p>
    <w:p>
      <w:pPr>
        <w:pStyle w:val="15"/>
        <w:jc w:val="center"/>
        <w:rPr>
          <w:rFonts w:hint="eastAsia" w:ascii="方正小标宋_GBK" w:hAnsi="方正小标宋_GBK" w:eastAsia="方正小标宋_GBK" w:cs="方正小标宋_GBK"/>
          <w:sz w:val="70"/>
          <w:szCs w:val="70"/>
        </w:rPr>
      </w:pPr>
    </w:p>
    <w:p>
      <w:pPr>
        <w:pStyle w:val="15"/>
        <w:jc w:val="center"/>
        <w:rPr>
          <w:rFonts w:hint="eastAsia" w:ascii="方正小标宋_GBK" w:hAnsi="方正小标宋_GBK" w:eastAsia="方正小标宋_GBK" w:cs="方正小标宋_GBK"/>
          <w:sz w:val="70"/>
          <w:szCs w:val="70"/>
        </w:rPr>
      </w:pPr>
    </w:p>
    <w:p>
      <w:pPr>
        <w:pStyle w:val="15"/>
        <w:jc w:val="center"/>
        <w:rPr>
          <w:rFonts w:hint="eastAsia" w:ascii="方正小标宋_GBK" w:hAnsi="方正小标宋_GBK" w:eastAsia="方正小标宋_GBK" w:cs="方正小标宋_GBK"/>
          <w:sz w:val="70"/>
          <w:szCs w:val="70"/>
        </w:rPr>
      </w:pPr>
    </w:p>
    <w:p>
      <w:pPr>
        <w:pStyle w:val="15"/>
        <w:jc w:val="center"/>
        <w:rPr>
          <w:rFonts w:hint="eastAsia" w:ascii="方正小标宋_GBK" w:hAnsi="方正小标宋_GBK" w:eastAsia="方正小标宋_GBK" w:cs="方正小标宋_GBK"/>
          <w:sz w:val="70"/>
          <w:szCs w:val="70"/>
        </w:rPr>
      </w:pPr>
    </w:p>
    <w:p>
      <w:pPr>
        <w:pStyle w:val="15"/>
        <w:jc w:val="center"/>
        <w:rPr>
          <w:rFonts w:hint="eastAsia" w:ascii="方正小标宋_GBK" w:hAnsi="方正小标宋_GBK" w:eastAsia="方正小标宋_GBK" w:cs="方正小标宋_GBK"/>
          <w:sz w:val="70"/>
          <w:szCs w:val="70"/>
        </w:rPr>
      </w:pPr>
    </w:p>
    <w:p>
      <w:pPr>
        <w:pStyle w:val="15"/>
        <w:jc w:val="center"/>
        <w:rPr>
          <w:rFonts w:hint="eastAsia" w:ascii="方正小标宋_GBK" w:hAnsi="方正小标宋_GBK" w:eastAsia="方正小标宋_GBK" w:cs="方正小标宋_GBK"/>
          <w:sz w:val="70"/>
          <w:szCs w:val="70"/>
        </w:rPr>
      </w:pPr>
    </w:p>
    <w:p>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说明：</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由于</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决算编制时</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明细</w:t>
      </w:r>
      <w:r>
        <w:rPr>
          <w:rFonts w:hint="eastAsia" w:ascii="仿宋_GB2312" w:hAnsi="仿宋_GB2312" w:eastAsia="仿宋_GB2312" w:cs="仿宋_GB2312"/>
          <w:sz w:val="32"/>
          <w:szCs w:val="32"/>
          <w:lang w:eastAsia="zh-CN"/>
        </w:rPr>
        <w:t>至“金额单位：元</w:t>
      </w:r>
      <w:r>
        <w:rPr>
          <w:rFonts w:hint="eastAsia" w:ascii="仿宋_GB2312" w:hAnsi="仿宋_GB2312" w:eastAsia="仿宋_GB2312" w:cs="仿宋_GB2312"/>
          <w:sz w:val="32"/>
          <w:szCs w:val="32"/>
        </w:rPr>
        <w:t>”，而</w:t>
      </w:r>
      <w:r>
        <w:rPr>
          <w:rFonts w:hint="eastAsia" w:ascii="仿宋_GB2312" w:hAnsi="仿宋_GB2312" w:eastAsia="仿宋_GB2312" w:cs="仿宋_GB2312"/>
          <w:sz w:val="32"/>
          <w:szCs w:val="32"/>
          <w:lang w:eastAsia="zh-CN"/>
        </w:rPr>
        <w:t>本套部门决算文字说明</w:t>
      </w:r>
      <w:r>
        <w:rPr>
          <w:rFonts w:hint="eastAsia" w:ascii="仿宋_GB2312" w:hAnsi="仿宋_GB2312" w:eastAsia="仿宋_GB2312" w:cs="仿宋_GB2312"/>
          <w:sz w:val="32"/>
          <w:szCs w:val="32"/>
        </w:rPr>
        <w:t>和公开表格</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取数</w:t>
      </w:r>
      <w:r>
        <w:rPr>
          <w:rFonts w:hint="eastAsia" w:ascii="仿宋_GB2312" w:hAnsi="仿宋_GB2312" w:eastAsia="仿宋_GB2312" w:cs="仿宋_GB2312"/>
          <w:sz w:val="32"/>
          <w:szCs w:val="32"/>
          <w:lang w:eastAsia="zh-CN"/>
        </w:rPr>
        <w:t>转换为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金额单位：</w:t>
      </w:r>
      <w:r>
        <w:rPr>
          <w:rFonts w:hint="eastAsia" w:ascii="仿宋_GB2312" w:hAnsi="仿宋_GB2312" w:eastAsia="仿宋_GB2312" w:cs="仿宋_GB2312"/>
          <w:sz w:val="32"/>
          <w:szCs w:val="32"/>
        </w:rPr>
        <w:t>万元”，可能导致</w:t>
      </w:r>
      <w:r>
        <w:rPr>
          <w:rFonts w:hint="eastAsia" w:ascii="仿宋_GB2312" w:hAnsi="仿宋_GB2312" w:eastAsia="仿宋_GB2312" w:cs="仿宋_GB2312"/>
          <w:sz w:val="32"/>
          <w:szCs w:val="32"/>
          <w:lang w:eastAsia="zh-CN"/>
        </w:rPr>
        <w:t>以下文字说明中的各项数据取数以及公开</w:t>
      </w:r>
      <w:r>
        <w:rPr>
          <w:rFonts w:hint="eastAsia" w:ascii="仿宋_GB2312" w:hAnsi="仿宋_GB2312" w:eastAsia="仿宋_GB2312" w:cs="仿宋_GB2312"/>
          <w:sz w:val="32"/>
          <w:szCs w:val="32"/>
        </w:rPr>
        <w:t>表格</w:t>
      </w:r>
      <w:r>
        <w:rPr>
          <w:rFonts w:hint="eastAsia" w:ascii="仿宋_GB2312" w:hAnsi="仿宋_GB2312" w:eastAsia="仿宋_GB2312" w:cs="仿宋_GB2312"/>
          <w:sz w:val="32"/>
          <w:szCs w:val="32"/>
          <w:lang w:eastAsia="zh-CN"/>
        </w:rPr>
        <w:t>中的各项数据取数之间存在</w:t>
      </w:r>
      <w:r>
        <w:rPr>
          <w:rFonts w:hint="eastAsia" w:ascii="仿宋_GB2312" w:hAnsi="仿宋_GB2312" w:eastAsia="仿宋_GB2312" w:cs="仿宋_GB2312"/>
          <w:sz w:val="32"/>
          <w:szCs w:val="32"/>
        </w:rPr>
        <w:t>0.01的尾数差异。</w:t>
      </w:r>
      <w:r>
        <w:rPr>
          <w:rFonts w:hint="eastAsia" w:ascii="仿宋_GB2312" w:hAnsi="仿宋_GB2312" w:eastAsia="仿宋_GB2312" w:cs="仿宋_GB2312"/>
          <w:sz w:val="32"/>
          <w:szCs w:val="32"/>
          <w:lang w:val="en-US" w:eastAsia="zh-CN"/>
        </w:rPr>
        <w:t>2、以下文字说明中，部分科目由于预算数为0，无法计算完成年初预算的百分比，故未描述“</w:t>
      </w:r>
      <w:r>
        <w:rPr>
          <w:rFonts w:hint="eastAsia" w:ascii="仿宋_GB2312" w:hAnsi="仿宋_GB2312" w:eastAsia="仿宋_GB2312" w:cs="仿宋_GB2312"/>
          <w:sz w:val="32"/>
          <w:szCs w:val="32"/>
        </w:rPr>
        <w:t>完成年初预算的XX%</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年度收、支总计</w:t>
      </w:r>
      <w:r>
        <w:rPr>
          <w:rFonts w:hint="eastAsia" w:ascii="仿宋_GB2312" w:hAnsi="仿宋_GB2312" w:eastAsia="仿宋_GB2312" w:cs="仿宋_GB2312"/>
          <w:sz w:val="32"/>
          <w:szCs w:val="32"/>
          <w:lang w:val="en-US" w:eastAsia="zh-CN"/>
        </w:rPr>
        <w:t>2567.15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上年无预算数。</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年度收入合计</w:t>
      </w:r>
      <w:r>
        <w:rPr>
          <w:rFonts w:hint="eastAsia" w:ascii="仿宋_GB2312" w:hAnsi="仿宋_GB2312" w:eastAsia="仿宋_GB2312" w:cs="仿宋_GB2312"/>
          <w:sz w:val="32"/>
          <w:szCs w:val="32"/>
          <w:lang w:val="en-US" w:eastAsia="zh-CN"/>
        </w:rPr>
        <w:t>2567.15</w:t>
      </w:r>
      <w:r>
        <w:rPr>
          <w:rFonts w:hint="eastAsia" w:ascii="仿宋_GB2312" w:hAnsi="仿宋_GB2312" w:eastAsia="仿宋_GB2312" w:cs="仿宋_GB2312"/>
          <w:sz w:val="32"/>
          <w:szCs w:val="32"/>
        </w:rPr>
        <w:t>万元，其中：财政拨款收入</w:t>
      </w:r>
      <w:r>
        <w:rPr>
          <w:rFonts w:hint="eastAsia" w:ascii="仿宋_GB2312" w:hAnsi="仿宋_GB2312" w:eastAsia="仿宋_GB2312" w:cs="仿宋_GB2312"/>
          <w:sz w:val="32"/>
          <w:szCs w:val="32"/>
          <w:lang w:val="en-US" w:eastAsia="zh-CN"/>
        </w:rPr>
        <w:t>2566.09</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99.96</w:t>
      </w:r>
      <w:r>
        <w:rPr>
          <w:rFonts w:hint="eastAsia" w:ascii="仿宋_GB2312" w:hAnsi="仿宋_GB2312" w:eastAsia="仿宋_GB2312" w:cs="仿宋_GB2312"/>
          <w:sz w:val="32"/>
          <w:szCs w:val="32"/>
        </w:rPr>
        <w:t>%；上级补助收入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%；事业收入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%；附属单位上缴收入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%；其他收入</w:t>
      </w:r>
      <w:r>
        <w:rPr>
          <w:rFonts w:hint="eastAsia" w:ascii="仿宋_GB2312" w:hAnsi="仿宋_GB2312" w:eastAsia="仿宋_GB2312" w:cs="仿宋_GB2312"/>
          <w:sz w:val="32"/>
          <w:szCs w:val="32"/>
          <w:lang w:val="en-US" w:eastAsia="zh-CN"/>
        </w:rPr>
        <w:t>1.06</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0.04</w:t>
      </w:r>
      <w:r>
        <w:rPr>
          <w:rFonts w:hint="eastAsia" w:ascii="仿宋_GB2312" w:hAnsi="仿宋_GB2312" w:eastAsia="仿宋_GB2312" w:cs="仿宋_GB2312"/>
          <w:sz w:val="32"/>
          <w:szCs w:val="32"/>
        </w:rPr>
        <w:t>%。</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年度支出合计</w:t>
      </w:r>
      <w:r>
        <w:rPr>
          <w:rFonts w:hint="eastAsia" w:ascii="仿宋_GB2312" w:hAnsi="仿宋_GB2312" w:eastAsia="仿宋_GB2312" w:cs="仿宋_GB2312"/>
          <w:sz w:val="32"/>
          <w:szCs w:val="32"/>
          <w:lang w:val="en-US" w:eastAsia="zh-CN"/>
        </w:rPr>
        <w:t>2567.14</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282.20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10.99</w:t>
      </w:r>
      <w:r>
        <w:rPr>
          <w:rFonts w:hint="eastAsia" w:ascii="仿宋_GB2312" w:hAnsi="仿宋_GB2312" w:eastAsia="仿宋_GB2312" w:cs="仿宋_GB2312"/>
          <w:sz w:val="32"/>
          <w:szCs w:val="32"/>
        </w:rPr>
        <w:t>%；项目支出</w:t>
      </w:r>
      <w:r>
        <w:rPr>
          <w:rFonts w:hint="eastAsia" w:ascii="仿宋_GB2312" w:hAnsi="仿宋_GB2312" w:eastAsia="仿宋_GB2312" w:cs="仿宋_GB2312"/>
          <w:sz w:val="32"/>
          <w:szCs w:val="32"/>
          <w:lang w:val="en-US" w:eastAsia="zh-CN"/>
        </w:rPr>
        <w:t>2284.94</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89.01</w:t>
      </w:r>
      <w:r>
        <w:rPr>
          <w:rFonts w:hint="eastAsia" w:ascii="仿宋_GB2312" w:hAnsi="仿宋_GB2312" w:eastAsia="仿宋_GB2312" w:cs="仿宋_GB2312"/>
          <w:sz w:val="32"/>
          <w:szCs w:val="32"/>
        </w:rPr>
        <w:t>%；上缴上级支出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%；对附属单位补助支出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pPr>
        <w:pStyle w:val="15"/>
        <w:keepNext w:val="0"/>
        <w:keepLines w:val="0"/>
        <w:pageBreakBefore w:val="0"/>
        <w:widowControl w:val="0"/>
        <w:kinsoku/>
        <w:wordWrap/>
        <w:overflowPunct/>
        <w:topLinePunct w:val="0"/>
        <w:bidi w:val="0"/>
        <w:snapToGrid/>
        <w:spacing w:line="600" w:lineRule="exact"/>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 xml:space="preserve"> 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年度财政拨款收、支总计</w:t>
      </w:r>
      <w:r>
        <w:rPr>
          <w:rFonts w:hint="eastAsia" w:ascii="仿宋_GB2312" w:hAnsi="仿宋_GB2312" w:eastAsia="仿宋_GB2312" w:cs="仿宋_GB2312"/>
          <w:sz w:val="32"/>
          <w:szCs w:val="32"/>
          <w:lang w:val="en-US" w:eastAsia="zh-CN"/>
        </w:rPr>
        <w:t>2566.09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上年无预算数。</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（一）一般公共预算财政拨款支出决算总体情况</w:t>
      </w:r>
    </w:p>
    <w:p>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2566.09</w:t>
      </w:r>
      <w:r>
        <w:rPr>
          <w:rFonts w:hint="eastAsia" w:ascii="仿宋_GB2312" w:hAnsi="仿宋_GB2312" w:eastAsia="仿宋_GB2312" w:cs="仿宋_GB2312"/>
          <w:sz w:val="32"/>
          <w:szCs w:val="32"/>
        </w:rPr>
        <w:t>万元，占本年支出合计的</w:t>
      </w:r>
      <w:r>
        <w:rPr>
          <w:rFonts w:hint="eastAsia" w:ascii="仿宋_GB2312" w:hAnsi="仿宋_GB2312" w:eastAsia="仿宋_GB2312" w:cs="仿宋_GB2312"/>
          <w:sz w:val="32"/>
          <w:szCs w:val="32"/>
          <w:lang w:val="en-US" w:eastAsia="zh-CN"/>
        </w:rPr>
        <w:t>99.96</w:t>
      </w:r>
      <w:r>
        <w:rPr>
          <w:rFonts w:hint="eastAsia" w:ascii="仿宋_GB2312" w:hAnsi="仿宋_GB2312" w:eastAsia="仿宋_GB2312" w:cs="仿宋_GB2312"/>
          <w:sz w:val="32"/>
          <w:szCs w:val="32"/>
        </w:rPr>
        <w:t>%，与上年相比，财政拨款支出增加（减少）</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万元，增长（减少）</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eastAsia="zh-CN"/>
        </w:rPr>
        <w:t>上年无数据。</w:t>
      </w:r>
    </w:p>
    <w:p>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（二）一般公共预算财政拨款支出决算结构情况</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left"/>
        <w:textAlignment w:val="center"/>
        <w:rPr>
          <w:rFonts w:hint="eastAsia" w:ascii="黑体" w:hAnsi="宋体" w:eastAsia="黑体" w:cs="黑体"/>
          <w:i w:val="0"/>
          <w:caps w:val="0"/>
          <w:color w:val="000000"/>
          <w:spacing w:val="0"/>
          <w:sz w:val="24"/>
          <w:szCs w:val="24"/>
        </w:rPr>
      </w:pPr>
      <w:r>
        <w:rPr>
          <w:rFonts w:hint="eastAsia" w:ascii="仿宋" w:hAnsi="仿宋" w:eastAsia="仿宋" w:cs="仿宋"/>
          <w:i w:val="0"/>
          <w:caps w:val="0"/>
          <w:color w:val="000000"/>
          <w:spacing w:val="0"/>
          <w:sz w:val="32"/>
          <w:szCs w:val="32"/>
          <w:shd w:val="clear" w:color="auto" w:fill="FFFFFF"/>
        </w:rPr>
        <w:t>202</w:t>
      </w:r>
      <w:r>
        <w:rPr>
          <w:rFonts w:hint="eastAsia" w:ascii="仿宋" w:hAnsi="仿宋" w:eastAsia="仿宋" w:cs="仿宋"/>
          <w:i w:val="0"/>
          <w:caps w:val="0"/>
          <w:color w:val="000000"/>
          <w:spacing w:val="0"/>
          <w:sz w:val="32"/>
          <w:szCs w:val="32"/>
          <w:shd w:val="clear" w:color="auto" w:fill="FFFFFF"/>
          <w:lang w:val="en-US" w:eastAsia="zh-CN"/>
        </w:rPr>
        <w:t>4</w:t>
      </w:r>
      <w:r>
        <w:rPr>
          <w:rFonts w:hint="eastAsia" w:ascii="仿宋" w:hAnsi="仿宋" w:eastAsia="仿宋" w:cs="仿宋"/>
          <w:i w:val="0"/>
          <w:caps w:val="0"/>
          <w:color w:val="000000"/>
          <w:spacing w:val="0"/>
          <w:sz w:val="32"/>
          <w:szCs w:val="32"/>
          <w:shd w:val="clear" w:color="auto" w:fill="FFFFFF"/>
        </w:rPr>
        <w:t>年度财政拨款支出</w:t>
      </w:r>
      <w:r>
        <w:rPr>
          <w:rFonts w:hint="eastAsia" w:ascii="仿宋" w:hAnsi="仿宋" w:eastAsia="仿宋" w:cs="仿宋"/>
          <w:i w:val="0"/>
          <w:caps w:val="0"/>
          <w:color w:val="000000"/>
          <w:spacing w:val="0"/>
          <w:sz w:val="32"/>
          <w:szCs w:val="32"/>
          <w:shd w:val="clear" w:color="auto" w:fill="FFFFFF"/>
          <w:lang w:val="en-US" w:eastAsia="zh-CN"/>
        </w:rPr>
        <w:t>2567.14</w:t>
      </w:r>
      <w:r>
        <w:rPr>
          <w:rFonts w:hint="eastAsia" w:ascii="仿宋" w:hAnsi="仿宋" w:eastAsia="仿宋" w:cs="仿宋"/>
          <w:i w:val="0"/>
          <w:caps w:val="0"/>
          <w:color w:val="000000"/>
          <w:spacing w:val="0"/>
          <w:sz w:val="32"/>
          <w:szCs w:val="32"/>
          <w:shd w:val="clear" w:color="auto" w:fill="FFFFFF"/>
        </w:rPr>
        <w:t>万元，主要用于以下方面：一般公共服务（类）支出</w:t>
      </w:r>
      <w:r>
        <w:rPr>
          <w:rFonts w:hint="eastAsia" w:ascii="仿宋" w:hAnsi="仿宋" w:eastAsia="仿宋" w:cs="仿宋"/>
          <w:i w:val="0"/>
          <w:caps w:val="0"/>
          <w:color w:val="000000"/>
          <w:spacing w:val="0"/>
          <w:sz w:val="32"/>
          <w:szCs w:val="32"/>
          <w:shd w:val="clear" w:color="auto" w:fill="FFFFFF"/>
          <w:lang w:val="en-US" w:eastAsia="zh-CN"/>
        </w:rPr>
        <w:t>2306.30</w:t>
      </w:r>
      <w:r>
        <w:rPr>
          <w:rFonts w:hint="eastAsia" w:ascii="仿宋" w:hAnsi="仿宋" w:eastAsia="仿宋" w:cs="仿宋"/>
          <w:i w:val="0"/>
          <w:caps w:val="0"/>
          <w:color w:val="000000"/>
          <w:spacing w:val="0"/>
          <w:sz w:val="32"/>
          <w:szCs w:val="32"/>
          <w:shd w:val="clear" w:color="auto" w:fill="FFFFFF"/>
        </w:rPr>
        <w:t>万元，占</w:t>
      </w:r>
      <w:r>
        <w:rPr>
          <w:rFonts w:hint="eastAsia" w:ascii="仿宋" w:hAnsi="仿宋" w:eastAsia="仿宋" w:cs="仿宋"/>
          <w:i w:val="0"/>
          <w:caps w:val="0"/>
          <w:color w:val="000000"/>
          <w:spacing w:val="0"/>
          <w:sz w:val="32"/>
          <w:szCs w:val="32"/>
          <w:shd w:val="clear" w:color="auto" w:fill="FFFFFF"/>
          <w:lang w:val="en-US" w:eastAsia="zh-CN"/>
        </w:rPr>
        <w:t>89.84</w:t>
      </w:r>
      <w:r>
        <w:rPr>
          <w:rFonts w:hint="eastAsia" w:ascii="仿宋" w:hAnsi="仿宋" w:eastAsia="仿宋" w:cs="仿宋"/>
          <w:i w:val="0"/>
          <w:caps w:val="0"/>
          <w:color w:val="000000"/>
          <w:spacing w:val="0"/>
          <w:sz w:val="32"/>
          <w:szCs w:val="32"/>
          <w:shd w:val="clear" w:color="auto" w:fill="FFFFFF"/>
        </w:rPr>
        <w:t>%；科学技术（类）支出</w:t>
      </w:r>
      <w:r>
        <w:rPr>
          <w:rFonts w:hint="eastAsia" w:ascii="仿宋" w:hAnsi="仿宋" w:eastAsia="仿宋" w:cs="仿宋"/>
          <w:i w:val="0"/>
          <w:caps w:val="0"/>
          <w:color w:val="000000"/>
          <w:spacing w:val="0"/>
          <w:sz w:val="32"/>
          <w:szCs w:val="32"/>
          <w:shd w:val="clear" w:color="auto" w:fill="FFFFFF"/>
          <w:lang w:val="en-US" w:eastAsia="zh-CN"/>
        </w:rPr>
        <w:t>194.24</w:t>
      </w:r>
      <w:r>
        <w:rPr>
          <w:rFonts w:hint="eastAsia" w:ascii="仿宋" w:hAnsi="仿宋" w:eastAsia="仿宋" w:cs="仿宋"/>
          <w:i w:val="0"/>
          <w:caps w:val="0"/>
          <w:color w:val="000000"/>
          <w:spacing w:val="0"/>
          <w:sz w:val="32"/>
          <w:szCs w:val="32"/>
          <w:shd w:val="clear" w:color="auto" w:fill="FFFFFF"/>
        </w:rPr>
        <w:t>万元，占</w:t>
      </w:r>
      <w:r>
        <w:rPr>
          <w:rFonts w:hint="eastAsia" w:ascii="仿宋" w:hAnsi="仿宋" w:eastAsia="仿宋" w:cs="仿宋"/>
          <w:i w:val="0"/>
          <w:caps w:val="0"/>
          <w:color w:val="000000"/>
          <w:spacing w:val="0"/>
          <w:sz w:val="32"/>
          <w:szCs w:val="32"/>
          <w:shd w:val="clear" w:color="auto" w:fill="FFFFFF"/>
          <w:lang w:val="en-US" w:eastAsia="zh-CN"/>
        </w:rPr>
        <w:t>7.57</w:t>
      </w:r>
      <w:r>
        <w:rPr>
          <w:rFonts w:hint="eastAsia" w:ascii="仿宋" w:hAnsi="仿宋" w:eastAsia="仿宋" w:cs="仿宋"/>
          <w:i w:val="0"/>
          <w:caps w:val="0"/>
          <w:color w:val="000000"/>
          <w:spacing w:val="0"/>
          <w:sz w:val="32"/>
          <w:szCs w:val="32"/>
          <w:shd w:val="clear" w:color="auto" w:fill="FFFFFF"/>
        </w:rPr>
        <w:t>%;社会保障和就业（类）支出</w:t>
      </w:r>
      <w:r>
        <w:rPr>
          <w:rFonts w:hint="eastAsia" w:ascii="仿宋" w:hAnsi="仿宋" w:eastAsia="仿宋" w:cs="仿宋"/>
          <w:i w:val="0"/>
          <w:caps w:val="0"/>
          <w:color w:val="000000"/>
          <w:spacing w:val="0"/>
          <w:sz w:val="32"/>
          <w:szCs w:val="32"/>
          <w:shd w:val="clear" w:color="auto" w:fill="FFFFFF"/>
          <w:lang w:val="en-US" w:eastAsia="zh-CN"/>
        </w:rPr>
        <w:t>19.9</w:t>
      </w:r>
      <w:r>
        <w:rPr>
          <w:rFonts w:hint="eastAsia" w:ascii="仿宋" w:hAnsi="仿宋" w:eastAsia="仿宋" w:cs="仿宋"/>
          <w:i w:val="0"/>
          <w:caps w:val="0"/>
          <w:color w:val="000000"/>
          <w:spacing w:val="0"/>
          <w:sz w:val="32"/>
          <w:szCs w:val="32"/>
          <w:shd w:val="clear" w:color="auto" w:fill="FFFFFF"/>
        </w:rPr>
        <w:t>万元，占</w:t>
      </w:r>
      <w:r>
        <w:rPr>
          <w:rFonts w:hint="eastAsia" w:ascii="仿宋" w:hAnsi="仿宋" w:eastAsia="仿宋" w:cs="仿宋"/>
          <w:i w:val="0"/>
          <w:caps w:val="0"/>
          <w:color w:val="000000"/>
          <w:spacing w:val="0"/>
          <w:sz w:val="32"/>
          <w:szCs w:val="32"/>
          <w:shd w:val="clear" w:color="auto" w:fill="FFFFFF"/>
          <w:lang w:val="en-US" w:eastAsia="zh-CN"/>
        </w:rPr>
        <w:t>0.78</w:t>
      </w:r>
      <w:r>
        <w:rPr>
          <w:rFonts w:hint="eastAsia" w:ascii="仿宋" w:hAnsi="仿宋" w:eastAsia="仿宋" w:cs="仿宋"/>
          <w:i w:val="0"/>
          <w:caps w:val="0"/>
          <w:color w:val="000000"/>
          <w:spacing w:val="0"/>
          <w:sz w:val="32"/>
          <w:szCs w:val="32"/>
          <w:shd w:val="clear" w:color="auto" w:fill="FFFFFF"/>
        </w:rPr>
        <w:t>%；卫生健康（类）支出</w:t>
      </w:r>
      <w:r>
        <w:rPr>
          <w:rFonts w:hint="eastAsia" w:ascii="仿宋" w:hAnsi="仿宋" w:eastAsia="仿宋" w:cs="仿宋"/>
          <w:i w:val="0"/>
          <w:caps w:val="0"/>
          <w:color w:val="000000"/>
          <w:spacing w:val="0"/>
          <w:sz w:val="32"/>
          <w:szCs w:val="32"/>
          <w:shd w:val="clear" w:color="auto" w:fill="FFFFFF"/>
          <w:lang w:val="en-US" w:eastAsia="zh-CN"/>
        </w:rPr>
        <w:t>12.98</w:t>
      </w:r>
      <w:r>
        <w:rPr>
          <w:rFonts w:hint="eastAsia" w:ascii="仿宋" w:hAnsi="仿宋" w:eastAsia="仿宋" w:cs="仿宋"/>
          <w:i w:val="0"/>
          <w:caps w:val="0"/>
          <w:color w:val="000000"/>
          <w:spacing w:val="0"/>
          <w:sz w:val="32"/>
          <w:szCs w:val="32"/>
          <w:shd w:val="clear" w:color="auto" w:fill="FFFFFF"/>
        </w:rPr>
        <w:t>万元，占0.</w:t>
      </w:r>
      <w:r>
        <w:rPr>
          <w:rFonts w:hint="eastAsia" w:ascii="仿宋" w:hAnsi="仿宋" w:eastAsia="仿宋" w:cs="仿宋"/>
          <w:i w:val="0"/>
          <w:caps w:val="0"/>
          <w:color w:val="000000"/>
          <w:spacing w:val="0"/>
          <w:sz w:val="32"/>
          <w:szCs w:val="32"/>
          <w:shd w:val="clear" w:color="auto" w:fill="FFFFFF"/>
          <w:lang w:val="en-US" w:eastAsia="zh-CN"/>
        </w:rPr>
        <w:t>50</w:t>
      </w:r>
      <w:r>
        <w:rPr>
          <w:rFonts w:hint="eastAsia" w:ascii="仿宋" w:hAnsi="仿宋" w:eastAsia="仿宋" w:cs="仿宋"/>
          <w:i w:val="0"/>
          <w:caps w:val="0"/>
          <w:color w:val="000000"/>
          <w:spacing w:val="0"/>
          <w:sz w:val="32"/>
          <w:szCs w:val="32"/>
          <w:shd w:val="clear" w:color="auto" w:fill="FFFFFF"/>
        </w:rPr>
        <w:t>%；</w:t>
      </w:r>
      <w:r>
        <w:rPr>
          <w:rFonts w:hint="eastAsia" w:ascii="仿宋" w:hAnsi="仿宋" w:eastAsia="仿宋" w:cs="仿宋"/>
          <w:i w:val="0"/>
          <w:caps w:val="0"/>
          <w:color w:val="000000"/>
          <w:spacing w:val="0"/>
          <w:sz w:val="32"/>
          <w:szCs w:val="32"/>
          <w:shd w:val="clear" w:color="auto" w:fill="FFFFFF"/>
          <w:lang w:eastAsia="zh-CN"/>
        </w:rPr>
        <w:t>农林水</w:t>
      </w:r>
      <w:r>
        <w:rPr>
          <w:rFonts w:hint="eastAsia" w:ascii="仿宋" w:hAnsi="仿宋" w:eastAsia="仿宋" w:cs="仿宋"/>
          <w:i w:val="0"/>
          <w:caps w:val="0"/>
          <w:color w:val="000000"/>
          <w:spacing w:val="0"/>
          <w:sz w:val="32"/>
          <w:szCs w:val="32"/>
          <w:shd w:val="clear" w:color="auto" w:fill="FFFFFF"/>
        </w:rPr>
        <w:t>（类）等支出</w:t>
      </w:r>
      <w:r>
        <w:rPr>
          <w:rFonts w:hint="eastAsia" w:ascii="仿宋" w:hAnsi="仿宋" w:eastAsia="仿宋" w:cs="仿宋"/>
          <w:i w:val="0"/>
          <w:caps w:val="0"/>
          <w:color w:val="000000"/>
          <w:spacing w:val="0"/>
          <w:sz w:val="32"/>
          <w:szCs w:val="32"/>
          <w:shd w:val="clear" w:color="auto" w:fill="FFFFFF"/>
          <w:lang w:val="en-US" w:eastAsia="zh-CN"/>
        </w:rPr>
        <w:t>19.11</w:t>
      </w:r>
      <w:r>
        <w:rPr>
          <w:rFonts w:hint="eastAsia" w:ascii="仿宋" w:hAnsi="仿宋" w:eastAsia="仿宋" w:cs="仿宋"/>
          <w:i w:val="0"/>
          <w:caps w:val="0"/>
          <w:color w:val="000000"/>
          <w:spacing w:val="0"/>
          <w:sz w:val="32"/>
          <w:szCs w:val="32"/>
          <w:shd w:val="clear" w:color="auto" w:fill="FFFFFF"/>
        </w:rPr>
        <w:t>万元，占0.</w:t>
      </w:r>
      <w:r>
        <w:rPr>
          <w:rFonts w:hint="eastAsia" w:ascii="仿宋" w:hAnsi="仿宋" w:eastAsia="仿宋" w:cs="仿宋"/>
          <w:i w:val="0"/>
          <w:caps w:val="0"/>
          <w:color w:val="000000"/>
          <w:spacing w:val="0"/>
          <w:sz w:val="32"/>
          <w:szCs w:val="32"/>
          <w:shd w:val="clear" w:color="auto" w:fill="FFFFFF"/>
          <w:lang w:val="en-US" w:eastAsia="zh-CN"/>
        </w:rPr>
        <w:t>74</w:t>
      </w:r>
      <w:r>
        <w:rPr>
          <w:rFonts w:hint="eastAsia" w:ascii="仿宋" w:hAnsi="仿宋" w:eastAsia="仿宋" w:cs="仿宋"/>
          <w:i w:val="0"/>
          <w:caps w:val="0"/>
          <w:color w:val="000000"/>
          <w:spacing w:val="0"/>
          <w:sz w:val="32"/>
          <w:szCs w:val="32"/>
          <w:shd w:val="clear" w:color="auto" w:fill="FFFFFF"/>
        </w:rPr>
        <w:t>%；住房保障（类）支出</w:t>
      </w:r>
      <w:r>
        <w:rPr>
          <w:rFonts w:hint="eastAsia" w:ascii="仿宋" w:hAnsi="仿宋" w:eastAsia="仿宋" w:cs="仿宋"/>
          <w:i w:val="0"/>
          <w:caps w:val="0"/>
          <w:color w:val="000000"/>
          <w:spacing w:val="0"/>
          <w:sz w:val="32"/>
          <w:szCs w:val="32"/>
          <w:shd w:val="clear" w:color="auto" w:fill="FFFFFF"/>
          <w:lang w:val="en-US" w:eastAsia="zh-CN"/>
        </w:rPr>
        <w:t>14.61</w:t>
      </w:r>
      <w:r>
        <w:rPr>
          <w:rFonts w:hint="eastAsia" w:ascii="仿宋" w:hAnsi="仿宋" w:eastAsia="仿宋" w:cs="仿宋"/>
          <w:i w:val="0"/>
          <w:caps w:val="0"/>
          <w:color w:val="000000"/>
          <w:spacing w:val="0"/>
          <w:sz w:val="32"/>
          <w:szCs w:val="32"/>
          <w:shd w:val="clear" w:color="auto" w:fill="FFFFFF"/>
        </w:rPr>
        <w:t>万元，占</w:t>
      </w:r>
      <w:r>
        <w:rPr>
          <w:rFonts w:hint="eastAsia" w:ascii="仿宋" w:hAnsi="仿宋" w:eastAsia="仿宋" w:cs="仿宋"/>
          <w:i w:val="0"/>
          <w:caps w:val="0"/>
          <w:color w:val="000000"/>
          <w:spacing w:val="0"/>
          <w:sz w:val="32"/>
          <w:szCs w:val="32"/>
          <w:shd w:val="clear" w:color="auto" w:fill="FFFFFF"/>
          <w:lang w:val="en-US" w:eastAsia="zh-CN"/>
        </w:rPr>
        <w:t>0.57</w:t>
      </w:r>
      <w:r>
        <w:rPr>
          <w:rFonts w:hint="eastAsia" w:ascii="仿宋" w:hAnsi="仿宋" w:eastAsia="仿宋" w:cs="仿宋"/>
          <w:i w:val="0"/>
          <w:caps w:val="0"/>
          <w:color w:val="000000"/>
          <w:spacing w:val="0"/>
          <w:sz w:val="32"/>
          <w:szCs w:val="32"/>
          <w:shd w:val="clear" w:color="auto" w:fill="FFFFFF"/>
        </w:rPr>
        <w:t>%。</w:t>
      </w:r>
    </w:p>
    <w:p>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（三）一般公共预算财政拨款支出决算具体情况</w:t>
      </w:r>
    </w:p>
    <w:p>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年度财政拨款支出年初预算数为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万元，支出决算数为</w:t>
      </w:r>
      <w:r>
        <w:rPr>
          <w:rFonts w:hint="eastAsia" w:ascii="仿宋_GB2312" w:hAnsi="仿宋_GB2312" w:eastAsia="仿宋_GB2312" w:cs="仿宋_GB2312"/>
          <w:sz w:val="32"/>
          <w:szCs w:val="32"/>
          <w:lang w:val="en-US" w:eastAsia="zh-CN"/>
        </w:rPr>
        <w:t>2567.14</w:t>
      </w:r>
      <w:r>
        <w:rPr>
          <w:rFonts w:hint="eastAsia" w:ascii="仿宋_GB2312" w:hAnsi="仿宋_GB2312" w:eastAsia="仿宋_GB2312" w:cs="仿宋_GB2312"/>
          <w:sz w:val="32"/>
          <w:szCs w:val="32"/>
        </w:rPr>
        <w:t>万元，其中：</w:t>
      </w:r>
    </w:p>
    <w:p>
      <w:pPr>
        <w:pStyle w:val="15"/>
        <w:keepNext w:val="0"/>
        <w:keepLines w:val="0"/>
        <w:pageBreakBefore w:val="0"/>
        <w:widowControl w:val="0"/>
        <w:kinsoku/>
        <w:wordWrap/>
        <w:overflowPunct/>
        <w:topLinePunct w:val="0"/>
        <w:bidi w:val="0"/>
        <w:snapToGrid/>
        <w:spacing w:line="600" w:lineRule="exact"/>
        <w:ind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一般公共服务（类）政府办公室及相关机构事务（款）行政运行（项）。</w:t>
      </w:r>
    </w:p>
    <w:p>
      <w:pPr>
        <w:keepNext w:val="0"/>
        <w:keepLines w:val="0"/>
        <w:pageBreakBefore w:val="0"/>
        <w:widowControl w:val="0"/>
        <w:numPr>
          <w:ilvl w:val="0"/>
          <w:numId w:val="0"/>
        </w:numPr>
        <w:kinsoku/>
        <w:wordWrap/>
        <w:overflowPunct/>
        <w:topLinePunct w:val="0"/>
        <w:autoSpaceDE/>
        <w:autoSpaceDN/>
        <w:bidi w:val="0"/>
        <w:adjustRightInd/>
        <w:snapToGrid/>
        <w:ind w:left="420" w:leftChars="200"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157.70</w:t>
      </w:r>
      <w:r>
        <w:rPr>
          <w:rFonts w:hint="eastAsia" w:ascii="仿宋_GB2312" w:hAnsi="仿宋_GB2312" w:eastAsia="仿宋_GB2312" w:cs="仿宋_GB2312"/>
          <w:sz w:val="32"/>
          <w:szCs w:val="32"/>
        </w:rPr>
        <w:t>万元，决算数大于年初预算数的主要原因是：</w:t>
      </w:r>
      <w:r>
        <w:rPr>
          <w:rFonts w:hint="eastAsia" w:ascii="仿宋_GB2312" w:hAnsi="仿宋_GB2312" w:eastAsia="仿宋_GB2312" w:cs="仿宋_GB2312"/>
          <w:sz w:val="32"/>
          <w:szCs w:val="32"/>
          <w:lang w:eastAsia="zh-CN"/>
        </w:rPr>
        <w:t>年初无预算</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2、一般公共服务（类）政府办公室及相关机构事务（款）一般行政管理事务（项）。</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2.23</w:t>
      </w:r>
      <w:r>
        <w:rPr>
          <w:rFonts w:hint="eastAsia" w:ascii="仿宋_GB2312" w:hAnsi="仿宋_GB2312" w:eastAsia="仿宋_GB2312" w:cs="仿宋_GB2312"/>
          <w:sz w:val="32"/>
          <w:szCs w:val="32"/>
        </w:rPr>
        <w:t>万元，决算数大于年初预算数的主要原因是：</w:t>
      </w:r>
      <w:r>
        <w:rPr>
          <w:rFonts w:hint="eastAsia" w:ascii="仿宋_GB2312" w:hAnsi="仿宋_GB2312" w:eastAsia="仿宋_GB2312" w:cs="仿宋_GB2312"/>
          <w:sz w:val="32"/>
          <w:szCs w:val="32"/>
          <w:lang w:eastAsia="zh-CN"/>
        </w:rPr>
        <w:t>年初无预算</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3、一般公共服务（类）政府办公室及相关机构事务（款）</w:t>
      </w:r>
      <w:r>
        <w:rPr>
          <w:rFonts w:hint="eastAsia" w:ascii="仿宋_GB2312" w:hAnsi="仿宋_GB2312" w:eastAsia="仿宋_GB2312" w:cs="仿宋_GB2312"/>
          <w:sz w:val="32"/>
          <w:szCs w:val="32"/>
          <w:lang w:eastAsia="zh-CN"/>
        </w:rPr>
        <w:t>政务公开审批</w:t>
      </w:r>
      <w:r>
        <w:rPr>
          <w:rFonts w:hint="eastAsia" w:ascii="仿宋_GB2312" w:hAnsi="仿宋_GB2312" w:eastAsia="仿宋_GB2312" w:cs="仿宋_GB2312"/>
          <w:sz w:val="32"/>
          <w:szCs w:val="32"/>
        </w:rPr>
        <w:t>（项）。</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年初预算为0万元，支出决算为</w:t>
      </w:r>
      <w:r>
        <w:rPr>
          <w:rFonts w:hint="eastAsia" w:ascii="仿宋_GB2312" w:hAnsi="仿宋_GB2312" w:eastAsia="仿宋_GB2312" w:cs="仿宋_GB2312"/>
          <w:sz w:val="32"/>
          <w:szCs w:val="32"/>
          <w:lang w:val="en-US" w:eastAsia="zh-CN"/>
        </w:rPr>
        <w:t>403.07</w:t>
      </w:r>
      <w:r>
        <w:rPr>
          <w:rFonts w:hint="eastAsia" w:ascii="仿宋_GB2312" w:hAnsi="仿宋_GB2312" w:eastAsia="仿宋_GB2312" w:cs="仿宋_GB2312"/>
          <w:sz w:val="32"/>
          <w:szCs w:val="32"/>
        </w:rPr>
        <w:t>万元，决算数大于年初预算数的主要原因是：</w:t>
      </w:r>
      <w:r>
        <w:rPr>
          <w:rFonts w:hint="eastAsia" w:ascii="仿宋_GB2312" w:hAnsi="仿宋_GB2312" w:eastAsia="仿宋_GB2312" w:cs="仿宋_GB2312"/>
          <w:sz w:val="32"/>
          <w:szCs w:val="32"/>
          <w:lang w:eastAsia="zh-CN"/>
        </w:rPr>
        <w:t>年初无预算</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一般公共服务（类）政府办公厅（室）及相关机构事务（款）其他政府办公厅（室）及相关机构事务支出（项）。</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年初预算为0万元，支出决算为</w:t>
      </w:r>
      <w:r>
        <w:rPr>
          <w:rFonts w:hint="eastAsia" w:ascii="仿宋_GB2312" w:hAnsi="仿宋_GB2312" w:eastAsia="仿宋_GB2312" w:cs="仿宋_GB2312"/>
          <w:sz w:val="32"/>
          <w:szCs w:val="32"/>
          <w:lang w:val="en-US" w:eastAsia="zh-CN"/>
        </w:rPr>
        <w:t>112.66</w:t>
      </w:r>
      <w:r>
        <w:rPr>
          <w:rFonts w:hint="eastAsia" w:ascii="仿宋_GB2312" w:hAnsi="仿宋_GB2312" w:eastAsia="仿宋_GB2312" w:cs="仿宋_GB2312"/>
          <w:sz w:val="32"/>
          <w:szCs w:val="32"/>
        </w:rPr>
        <w:t>万元，决算数大于年初预算数的主要原因是：</w:t>
      </w:r>
      <w:r>
        <w:rPr>
          <w:rFonts w:hint="eastAsia" w:ascii="仿宋_GB2312" w:hAnsi="仿宋_GB2312" w:eastAsia="仿宋_GB2312" w:cs="仿宋_GB2312"/>
          <w:sz w:val="32"/>
          <w:szCs w:val="32"/>
          <w:lang w:eastAsia="zh-CN"/>
        </w:rPr>
        <w:t>年初无预算</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一般公共服务（类）党委办公厅（室）及相关机构事务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eastAsia="zh-CN"/>
        </w:rPr>
        <w:t>行政运行</w:t>
      </w:r>
      <w:r>
        <w:rPr>
          <w:rFonts w:hint="eastAsia" w:ascii="仿宋_GB2312" w:hAnsi="仿宋_GB2312" w:eastAsia="仿宋_GB2312" w:cs="仿宋_GB2312"/>
          <w:sz w:val="32"/>
          <w:szCs w:val="32"/>
        </w:rPr>
        <w:t>（项）。</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年初预算为0万元，支出决算为</w:t>
      </w:r>
      <w:r>
        <w:rPr>
          <w:rFonts w:hint="eastAsia" w:ascii="仿宋_GB2312" w:hAnsi="仿宋_GB2312" w:eastAsia="仿宋_GB2312" w:cs="仿宋_GB2312"/>
          <w:sz w:val="32"/>
          <w:szCs w:val="32"/>
          <w:lang w:val="en-US" w:eastAsia="zh-CN"/>
        </w:rPr>
        <w:t>4.50</w:t>
      </w:r>
      <w:r>
        <w:rPr>
          <w:rFonts w:hint="eastAsia" w:ascii="仿宋_GB2312" w:hAnsi="仿宋_GB2312" w:eastAsia="仿宋_GB2312" w:cs="仿宋_GB2312"/>
          <w:sz w:val="32"/>
          <w:szCs w:val="32"/>
        </w:rPr>
        <w:t>万元，决算数大于年初预算数的主要原因是：</w:t>
      </w:r>
      <w:r>
        <w:rPr>
          <w:rFonts w:hint="eastAsia" w:ascii="仿宋_GB2312" w:hAnsi="仿宋_GB2312" w:eastAsia="仿宋_GB2312" w:cs="仿宋_GB2312"/>
          <w:sz w:val="32"/>
          <w:szCs w:val="32"/>
          <w:lang w:eastAsia="zh-CN"/>
        </w:rPr>
        <w:t>年初无预算</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一般公共服务（类）其他一般公共服务支出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eastAsia="zh-CN"/>
        </w:rPr>
        <w:t>其他一般公共服务支出</w:t>
      </w:r>
      <w:r>
        <w:rPr>
          <w:rFonts w:hint="eastAsia" w:ascii="仿宋_GB2312" w:hAnsi="仿宋_GB2312" w:eastAsia="仿宋_GB2312" w:cs="仿宋_GB2312"/>
          <w:sz w:val="32"/>
          <w:szCs w:val="32"/>
        </w:rPr>
        <w:t>（项）。</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年初预算为0万元，支出决算为</w:t>
      </w:r>
      <w:r>
        <w:rPr>
          <w:rFonts w:hint="eastAsia" w:ascii="仿宋_GB2312" w:hAnsi="仿宋_GB2312" w:eastAsia="仿宋_GB2312" w:cs="仿宋_GB2312"/>
          <w:sz w:val="32"/>
          <w:szCs w:val="32"/>
          <w:lang w:val="en-US" w:eastAsia="zh-CN"/>
        </w:rPr>
        <w:t>1626.14</w:t>
      </w:r>
      <w:r>
        <w:rPr>
          <w:rFonts w:hint="eastAsia" w:ascii="仿宋_GB2312" w:hAnsi="仿宋_GB2312" w:eastAsia="仿宋_GB2312" w:cs="仿宋_GB2312"/>
          <w:sz w:val="32"/>
          <w:szCs w:val="32"/>
        </w:rPr>
        <w:t>万元，决算数大于年初预算数的主要原因是：</w:t>
      </w:r>
      <w:r>
        <w:rPr>
          <w:rFonts w:hint="eastAsia" w:ascii="仿宋_GB2312" w:hAnsi="仿宋_GB2312" w:eastAsia="仿宋_GB2312" w:cs="仿宋_GB2312"/>
          <w:sz w:val="32"/>
          <w:szCs w:val="32"/>
          <w:lang w:eastAsia="zh-CN"/>
        </w:rPr>
        <w:t>年初无预算</w:t>
      </w:r>
      <w:r>
        <w:rPr>
          <w:rFonts w:hint="eastAsia" w:ascii="仿宋_GB2312" w:hAnsi="仿宋_GB2312" w:eastAsia="仿宋_GB2312" w:cs="仿宋_GB2312"/>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ind w:left="420" w:leftChars="200"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科学技术支出（类）其他科学技术支出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eastAsia="zh-CN"/>
        </w:rPr>
        <w:t>其他科学技术支出</w:t>
      </w:r>
      <w:r>
        <w:rPr>
          <w:rFonts w:hint="eastAsia" w:ascii="仿宋_GB2312" w:hAnsi="仿宋_GB2312" w:eastAsia="仿宋_GB2312" w:cs="仿宋_GB2312"/>
          <w:sz w:val="32"/>
          <w:szCs w:val="32"/>
        </w:rPr>
        <w:t>（项）。</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年初预算为0万元，支出决算为</w:t>
      </w:r>
      <w:r>
        <w:rPr>
          <w:rFonts w:hint="eastAsia" w:ascii="仿宋_GB2312" w:hAnsi="仿宋_GB2312" w:eastAsia="仿宋_GB2312" w:cs="仿宋_GB2312"/>
          <w:sz w:val="32"/>
          <w:szCs w:val="32"/>
          <w:lang w:val="en-US" w:eastAsia="zh-CN"/>
        </w:rPr>
        <w:t>194.24</w:t>
      </w:r>
      <w:r>
        <w:rPr>
          <w:rFonts w:hint="eastAsia" w:ascii="仿宋_GB2312" w:hAnsi="仿宋_GB2312" w:eastAsia="仿宋_GB2312" w:cs="仿宋_GB2312"/>
          <w:sz w:val="32"/>
          <w:szCs w:val="32"/>
        </w:rPr>
        <w:t>万元，决算数大于年初预算数的主要原因是：</w:t>
      </w:r>
      <w:r>
        <w:rPr>
          <w:rFonts w:hint="eastAsia" w:ascii="仿宋_GB2312" w:hAnsi="仿宋_GB2312" w:eastAsia="仿宋_GB2312" w:cs="仿宋_GB2312"/>
          <w:sz w:val="32"/>
          <w:szCs w:val="32"/>
          <w:lang w:eastAsia="zh-CN"/>
        </w:rPr>
        <w:t>年初无预算</w:t>
      </w:r>
      <w:r>
        <w:rPr>
          <w:rFonts w:hint="eastAsia" w:ascii="仿宋_GB2312" w:hAnsi="仿宋_GB2312" w:eastAsia="仿宋_GB2312" w:cs="仿宋_GB2312"/>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ind w:left="420" w:leftChars="200"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社会保障和就业支出（类）行政事业单位养老支出（款）机关事业单位基本养老保险缴费支出（项）。</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19.9</w:t>
      </w:r>
      <w:r>
        <w:rPr>
          <w:rFonts w:hint="eastAsia" w:ascii="仿宋_GB2312" w:hAnsi="仿宋_GB2312" w:eastAsia="仿宋_GB2312" w:cs="仿宋_GB2312"/>
          <w:sz w:val="32"/>
          <w:szCs w:val="32"/>
        </w:rPr>
        <w:t>万元，决算数</w:t>
      </w:r>
      <w:r>
        <w:rPr>
          <w:rFonts w:hint="eastAsia" w:ascii="仿宋_GB2312" w:hAnsi="仿宋_GB2312" w:eastAsia="仿宋_GB2312" w:cs="仿宋_GB2312"/>
          <w:sz w:val="32"/>
          <w:szCs w:val="32"/>
          <w:lang w:eastAsia="zh-CN"/>
        </w:rPr>
        <w:t>大于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eastAsia="zh-CN"/>
        </w:rPr>
        <w:t>年初无预算</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、卫生健康（类）行政事业单位医疗（款）行政单位医疗（项）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12.12</w:t>
      </w:r>
      <w:r>
        <w:rPr>
          <w:rFonts w:hint="eastAsia" w:ascii="仿宋_GB2312" w:hAnsi="仿宋_GB2312" w:eastAsia="仿宋_GB2312" w:cs="仿宋_GB2312"/>
          <w:sz w:val="32"/>
          <w:szCs w:val="32"/>
        </w:rPr>
        <w:t>万元，决算数</w:t>
      </w:r>
      <w:r>
        <w:rPr>
          <w:rFonts w:hint="eastAsia" w:ascii="仿宋_GB2312" w:hAnsi="仿宋_GB2312" w:eastAsia="仿宋_GB2312" w:cs="仿宋_GB2312"/>
          <w:sz w:val="32"/>
          <w:szCs w:val="32"/>
          <w:lang w:eastAsia="zh-CN"/>
        </w:rPr>
        <w:t>大于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eastAsia="zh-CN"/>
        </w:rPr>
        <w:t>年初无预算</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、卫生健康（类）行政事业单位医疗（款）公务员医疗补助（项）。</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0.86</w:t>
      </w:r>
      <w:r>
        <w:rPr>
          <w:rFonts w:hint="eastAsia" w:ascii="仿宋_GB2312" w:hAnsi="仿宋_GB2312" w:eastAsia="仿宋_GB2312" w:cs="仿宋_GB2312"/>
          <w:sz w:val="32"/>
          <w:szCs w:val="32"/>
        </w:rPr>
        <w:t>万元，决算数</w:t>
      </w:r>
      <w:r>
        <w:rPr>
          <w:rFonts w:hint="eastAsia" w:ascii="仿宋_GB2312" w:hAnsi="仿宋_GB2312" w:eastAsia="仿宋_GB2312" w:cs="仿宋_GB2312"/>
          <w:sz w:val="32"/>
          <w:szCs w:val="32"/>
          <w:lang w:eastAsia="zh-CN"/>
        </w:rPr>
        <w:t>大于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eastAsia="zh-CN"/>
        </w:rPr>
        <w:t>年初无预算</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农林水支出（类）巩固脱贫攻坚成果衔接乡村振兴（款）行政运行（项）</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19.11</w:t>
      </w:r>
      <w:r>
        <w:rPr>
          <w:rFonts w:hint="eastAsia" w:ascii="仿宋_GB2312" w:hAnsi="仿宋_GB2312" w:eastAsia="仿宋_GB2312" w:cs="仿宋_GB2312"/>
          <w:sz w:val="32"/>
          <w:szCs w:val="32"/>
        </w:rPr>
        <w:t>万元，决算数</w:t>
      </w:r>
      <w:r>
        <w:rPr>
          <w:rFonts w:hint="eastAsia" w:ascii="仿宋_GB2312" w:hAnsi="仿宋_GB2312" w:eastAsia="仿宋_GB2312" w:cs="仿宋_GB2312"/>
          <w:sz w:val="32"/>
          <w:szCs w:val="32"/>
          <w:lang w:eastAsia="zh-CN"/>
        </w:rPr>
        <w:t>大</w:t>
      </w:r>
      <w:r>
        <w:rPr>
          <w:rFonts w:hint="eastAsia" w:ascii="仿宋_GB2312" w:hAnsi="仿宋_GB2312" w:eastAsia="仿宋_GB2312" w:cs="仿宋_GB2312"/>
          <w:sz w:val="32"/>
          <w:szCs w:val="32"/>
        </w:rPr>
        <w:t>于年初预算数的主要原因是：</w:t>
      </w:r>
      <w:r>
        <w:rPr>
          <w:rFonts w:hint="eastAsia" w:ascii="仿宋_GB2312" w:hAnsi="仿宋_GB2312" w:eastAsia="仿宋_GB2312" w:cs="仿宋_GB2312"/>
          <w:sz w:val="32"/>
          <w:szCs w:val="32"/>
          <w:lang w:eastAsia="zh-CN"/>
        </w:rPr>
        <w:t>年初无预算</w:t>
      </w:r>
      <w:r>
        <w:rPr>
          <w:rFonts w:hint="eastAsia" w:ascii="仿宋_GB2312" w:hAnsi="仿宋_GB2312" w:eastAsia="仿宋_GB2312" w:cs="仿宋_GB2312"/>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ind w:left="420" w:leftChars="200"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、住房保障（类）住房改革支出（款）住房公积金（项）。</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14.61</w:t>
      </w:r>
      <w:r>
        <w:rPr>
          <w:rFonts w:hint="eastAsia" w:ascii="仿宋_GB2312" w:hAnsi="仿宋_GB2312" w:eastAsia="仿宋_GB2312" w:cs="仿宋_GB2312"/>
          <w:sz w:val="32"/>
          <w:szCs w:val="32"/>
        </w:rPr>
        <w:t>万元，决算数</w:t>
      </w:r>
      <w:r>
        <w:rPr>
          <w:rFonts w:hint="eastAsia" w:ascii="仿宋_GB2312" w:hAnsi="仿宋_GB2312" w:eastAsia="仿宋_GB2312" w:cs="仿宋_GB2312"/>
          <w:sz w:val="32"/>
          <w:szCs w:val="32"/>
          <w:lang w:eastAsia="zh-CN"/>
        </w:rPr>
        <w:t>大</w:t>
      </w:r>
      <w:r>
        <w:rPr>
          <w:rFonts w:hint="eastAsia" w:ascii="仿宋_GB2312" w:hAnsi="仿宋_GB2312" w:eastAsia="仿宋_GB2312" w:cs="仿宋_GB2312"/>
          <w:sz w:val="32"/>
          <w:szCs w:val="32"/>
        </w:rPr>
        <w:t>于年初预算数的主要原因是</w:t>
      </w:r>
      <w:r>
        <w:rPr>
          <w:rFonts w:hint="eastAsia" w:ascii="仿宋_GB2312" w:hAnsi="仿宋_GB2312" w:eastAsia="仿宋_GB2312" w:cs="仿宋_GB2312"/>
          <w:sz w:val="32"/>
          <w:szCs w:val="32"/>
          <w:lang w:eastAsia="zh-CN"/>
        </w:rPr>
        <w:t>：年初无预算</w:t>
      </w:r>
      <w:r>
        <w:rPr>
          <w:rFonts w:hint="eastAsia" w:ascii="仿宋_GB2312" w:hAnsi="仿宋_GB2312" w:eastAsia="仿宋_GB2312" w:cs="仿宋_GB2312"/>
          <w:sz w:val="32"/>
          <w:szCs w:val="32"/>
        </w:rPr>
        <w:t>。</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w:t>
      </w:r>
      <w:r>
        <w:rPr>
          <w:rFonts w:hint="eastAsia" w:ascii="仿宋_GB2312" w:hAnsi="仿宋_GB2312" w:eastAsia="仿宋_GB2312" w:cs="仿宋_GB2312"/>
          <w:sz w:val="32"/>
          <w:szCs w:val="32"/>
          <w:lang w:eastAsia="zh-CN"/>
        </w:rPr>
        <w:t>一般公共预算</w:t>
      </w:r>
      <w:r>
        <w:rPr>
          <w:rFonts w:hint="eastAsia" w:ascii="仿宋_GB2312" w:hAnsi="仿宋_GB2312" w:eastAsia="仿宋_GB2312" w:cs="仿宋_GB2312"/>
          <w:sz w:val="32"/>
          <w:szCs w:val="32"/>
        </w:rPr>
        <w:t>财政拨款基本支出</w:t>
      </w:r>
      <w:r>
        <w:rPr>
          <w:rFonts w:hint="eastAsia" w:ascii="仿宋_GB2312" w:hAnsi="仿宋_GB2312" w:eastAsia="仿宋_GB2312" w:cs="仿宋_GB2312"/>
          <w:sz w:val="32"/>
          <w:szCs w:val="32"/>
          <w:lang w:val="en-US" w:eastAsia="zh-CN"/>
        </w:rPr>
        <w:t>282.21</w:t>
      </w:r>
      <w:r>
        <w:rPr>
          <w:rFonts w:hint="eastAsia" w:ascii="仿宋_GB2312" w:hAnsi="仿宋_GB2312" w:eastAsia="仿宋_GB2312" w:cs="仿宋_GB2312"/>
          <w:sz w:val="32"/>
          <w:szCs w:val="32"/>
        </w:rPr>
        <w:t>万元，其中：</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人员经费</w:t>
      </w:r>
      <w:r>
        <w:rPr>
          <w:rFonts w:hint="eastAsia" w:ascii="仿宋_GB2312" w:hAnsi="仿宋_GB2312" w:eastAsia="仿宋_GB2312" w:cs="仿宋_GB2312"/>
          <w:sz w:val="32"/>
          <w:szCs w:val="32"/>
          <w:lang w:val="en-US" w:eastAsia="zh-CN"/>
        </w:rPr>
        <w:t>216.43</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76.69</w:t>
      </w:r>
      <w:r>
        <w:rPr>
          <w:rFonts w:hint="eastAsia" w:ascii="仿宋_GB2312" w:hAnsi="仿宋_GB2312" w:eastAsia="仿宋_GB2312" w:cs="仿宋_GB2312"/>
          <w:sz w:val="32"/>
          <w:szCs w:val="32"/>
        </w:rPr>
        <w:t>%,主要包括基本工资、津贴补贴、奖金、伙食补助费</w:t>
      </w:r>
      <w:r>
        <w:rPr>
          <w:rFonts w:hint="eastAsia" w:ascii="仿宋_GB2312" w:hAnsi="仿宋_GB2312" w:eastAsia="仿宋_GB2312" w:cs="仿宋_GB2312"/>
          <w:sz w:val="32"/>
          <w:szCs w:val="32"/>
          <w:lang w:eastAsia="zh-CN"/>
        </w:rPr>
        <w:t>、绩效工资、 机关事业单位基本养老保险缴费、职工基本医疗保险缴费、其他社会保障缴费、住房公积金、 退休费、奖励金、其他对个人和家庭的补助。</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bCs/>
          <w:sz w:val="32"/>
          <w:szCs w:val="32"/>
        </w:rPr>
        <w:t>公用经费</w:t>
      </w:r>
      <w:r>
        <w:rPr>
          <w:rFonts w:hint="eastAsia" w:ascii="仿宋_GB2312" w:hAnsi="仿宋_GB2312" w:eastAsia="仿宋_GB2312" w:cs="仿宋_GB2312"/>
          <w:sz w:val="32"/>
          <w:szCs w:val="32"/>
          <w:lang w:val="en-US" w:eastAsia="zh-CN"/>
        </w:rPr>
        <w:t>65.78</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23.31</w:t>
      </w:r>
      <w:r>
        <w:rPr>
          <w:rFonts w:hint="eastAsia" w:ascii="仿宋_GB2312" w:hAnsi="仿宋_GB2312" w:eastAsia="仿宋_GB2312" w:cs="仿宋_GB2312"/>
          <w:sz w:val="32"/>
          <w:szCs w:val="32"/>
        </w:rPr>
        <w:t>%，主要包括办公费、印刷费、</w:t>
      </w:r>
      <w:r>
        <w:rPr>
          <w:rFonts w:hint="eastAsia" w:ascii="仿宋_GB2312" w:hAnsi="仿宋_GB2312" w:eastAsia="仿宋_GB2312" w:cs="仿宋_GB2312"/>
          <w:sz w:val="32"/>
          <w:szCs w:val="32"/>
          <w:lang w:eastAsia="zh-CN"/>
        </w:rPr>
        <w:t>邮电费</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差旅费、维护费、会议费、培训费、公务接待费、劳务费、委托业务费、工会经费、福利费、公务用车运行维护费、其他交通费用、其他商品和服务支出、办公设备购置</w:t>
      </w:r>
      <w:r>
        <w:rPr>
          <w:rFonts w:hint="eastAsia" w:ascii="仿宋_GB2312" w:hAnsi="仿宋_GB2312" w:eastAsia="仿宋_GB2312" w:cs="仿宋_GB2312"/>
          <w:sz w:val="32"/>
          <w:szCs w:val="32"/>
        </w:rPr>
        <w:t>。</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七、政府性基金预算收入支出决算情况</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年度政府性基金预算财政拨款收入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万元；年初结转和结余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万元，项目支出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万元；年末结转和结余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八、国有资本经营预算财政拨款支出决算情况</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仿宋_GB2312" w:hAnsi="仿宋_GB2312" w:eastAsia="仿宋_GB2312" w:cs="仿宋_GB2312"/>
          <w:i w:val="0"/>
          <w:iCs/>
          <w:color w:val="auto"/>
          <w:kern w:val="0"/>
          <w:sz w:val="32"/>
          <w:szCs w:val="32"/>
          <w:lang w:val="en-US" w:eastAsia="zh-CN" w:bidi="ar-SA"/>
        </w:rPr>
        <w:t>2024年度国有资本经营预算财政拨款收入0万元；年初结转和结余0万；支出0万元，其中：基本支出0万元，项目支出0万元；年末结转和结余0万元。</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hAnsi="黑体" w:cs="黑体"/>
          <w:b w:val="0"/>
          <w:bCs/>
          <w:sz w:val="32"/>
          <w:szCs w:val="32"/>
          <w:lang w:eastAsia="zh-CN"/>
        </w:rPr>
        <w:t>九、</w:t>
      </w:r>
      <w:r>
        <w:rPr>
          <w:rFonts w:hint="eastAsia" w:ascii="黑体" w:hAnsi="黑体" w:eastAsia="黑体" w:cs="黑体"/>
          <w:b w:val="0"/>
          <w:bCs/>
          <w:sz w:val="32"/>
          <w:szCs w:val="32"/>
        </w:rPr>
        <w:t>财政拨款三公经费支出决算情况说明</w:t>
      </w:r>
    </w:p>
    <w:p>
      <w:pPr>
        <w:pStyle w:val="15"/>
        <w:overflowPunct w:val="0"/>
        <w:autoSpaceDE/>
        <w:autoSpaceDN/>
        <w:spacing w:line="600" w:lineRule="exact"/>
        <w:ind w:firstLine="640" w:firstLineChars="200"/>
        <w:jc w:val="both"/>
        <w:rPr>
          <w:rFonts w:ascii="Times New Roman" w:hAnsi="Times New Roman" w:eastAsia="楷体_GB2312" w:cs="Times New Roman"/>
          <w:b/>
          <w:sz w:val="32"/>
          <w:szCs w:val="32"/>
        </w:rPr>
      </w:pPr>
      <w:r>
        <w:rPr>
          <w:rFonts w:ascii="Times New Roman" w:hAnsi="Times New Roman" w:eastAsia="楷体_GB2312" w:cs="Times New Roman"/>
          <w:b/>
          <w:sz w:val="32"/>
          <w:szCs w:val="32"/>
        </w:rPr>
        <w:t>（一）</w:t>
      </w:r>
      <w:r>
        <w:rPr>
          <w:rFonts w:hint="eastAsia" w:ascii="Times New Roman" w:hAnsi="Times New Roman" w:eastAsia="楷体_GB2312" w:cs="Times New Roman"/>
          <w:b/>
          <w:sz w:val="32"/>
          <w:szCs w:val="32"/>
          <w:lang w:eastAsia="zh-CN"/>
        </w:rPr>
        <w:t>“三公”</w:t>
      </w:r>
      <w:r>
        <w:rPr>
          <w:rFonts w:ascii="Times New Roman" w:hAnsi="Times New Roman" w:eastAsia="楷体_GB2312" w:cs="Times New Roman"/>
          <w:b/>
          <w:sz w:val="32"/>
          <w:szCs w:val="32"/>
        </w:rPr>
        <w:t>经费财政拨款支出决算总体情况说明</w:t>
      </w:r>
    </w:p>
    <w:p>
      <w:pPr>
        <w:pStyle w:val="15"/>
        <w:overflowPunct w:val="0"/>
        <w:autoSpaceDE/>
        <w:autoSpaceDN/>
        <w:spacing w:line="600" w:lineRule="exact"/>
        <w:ind w:firstLine="640" w:firstLineChars="200"/>
        <w:jc w:val="both"/>
        <w:rPr>
          <w:rFonts w:ascii="Times New Roman" w:hAnsi="Times New Roman" w:eastAsia="仿宋_GB2312" w:cs="Times New Roman"/>
          <w:sz w:val="32"/>
          <w:szCs w:val="32"/>
          <w:highlight w:val="yellow"/>
        </w:rPr>
      </w:pPr>
      <w:r>
        <w:rPr>
          <w:rFonts w:ascii="Times New Roman" w:hAnsi="Times New Roman" w:eastAsia="仿宋_GB2312" w:cs="Times New Roman"/>
          <w:sz w:val="32"/>
          <w:szCs w:val="32"/>
        </w:rPr>
        <w:t>2024年度“三公”经费财政拨款支出预算为</w:t>
      </w:r>
      <w:r>
        <w:rPr>
          <w:rFonts w:hint="eastAsia" w:ascii="Times New Roman" w:hAnsi="Times New Roman" w:eastAsia="仿宋_GB2312" w:cs="Times New Roman"/>
          <w:sz w:val="32"/>
          <w:szCs w:val="32"/>
          <w:lang w:val="en-US" w:eastAsia="zh-CN"/>
        </w:rPr>
        <w:t>5</w:t>
      </w:r>
      <w:r>
        <w:rPr>
          <w:rFonts w:ascii="Times New Roman" w:hAnsi="Times New Roman" w:eastAsia="仿宋_GB2312" w:cs="Times New Roman"/>
          <w:sz w:val="32"/>
          <w:szCs w:val="32"/>
        </w:rPr>
        <w:t>万元，支出决算为</w:t>
      </w:r>
      <w:r>
        <w:rPr>
          <w:rFonts w:hint="eastAsia" w:ascii="Times New Roman" w:hAnsi="Times New Roman" w:eastAsia="仿宋_GB2312" w:cs="Times New Roman"/>
          <w:sz w:val="32"/>
          <w:szCs w:val="32"/>
          <w:lang w:val="en-US" w:eastAsia="zh-CN"/>
        </w:rPr>
        <w:t>1.16</w:t>
      </w:r>
      <w:r>
        <w:rPr>
          <w:rFonts w:ascii="Times New Roman" w:hAnsi="Times New Roman" w:eastAsia="仿宋_GB2312" w:cs="Times New Roman"/>
          <w:sz w:val="32"/>
          <w:szCs w:val="32"/>
        </w:rPr>
        <w:t>万元，完成预算的</w:t>
      </w:r>
      <w:r>
        <w:rPr>
          <w:rFonts w:hint="eastAsia" w:ascii="Times New Roman" w:hAnsi="Times New Roman" w:eastAsia="仿宋_GB2312" w:cs="Times New Roman"/>
          <w:sz w:val="32"/>
          <w:szCs w:val="32"/>
          <w:lang w:val="en-US" w:eastAsia="zh-CN"/>
        </w:rPr>
        <w:t>23.2</w:t>
      </w:r>
      <w:r>
        <w:rPr>
          <w:rFonts w:ascii="Times New Roman" w:hAnsi="Times New Roman" w:eastAsia="仿宋_GB2312" w:cs="Times New Roman"/>
          <w:sz w:val="32"/>
          <w:szCs w:val="32"/>
        </w:rPr>
        <w:t>%；与上年相比增加（减少）</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万元，增长（降低）</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%。决算数小于预算数的主要原因是</w:t>
      </w:r>
      <w:r>
        <w:rPr>
          <w:rFonts w:hint="eastAsia" w:ascii="Times New Roman" w:hAnsi="Times New Roman" w:eastAsia="仿宋_GB2312" w:cs="Times New Roman"/>
          <w:sz w:val="32"/>
          <w:szCs w:val="32"/>
          <w:lang w:eastAsia="zh-CN"/>
        </w:rPr>
        <w:t>机构改革，单位新成立。</w:t>
      </w:r>
      <w:r>
        <w:rPr>
          <w:rFonts w:ascii="Times New Roman" w:hAnsi="Times New Roman" w:eastAsia="仿宋_GB2312" w:cs="Times New Roman"/>
          <w:sz w:val="32"/>
          <w:szCs w:val="32"/>
        </w:rPr>
        <w:t>决算数小于上年数的主要原因是</w:t>
      </w:r>
      <w:r>
        <w:rPr>
          <w:rFonts w:hint="eastAsia" w:ascii="Times New Roman" w:hAnsi="Times New Roman" w:eastAsia="仿宋_GB2312" w:cs="Times New Roman"/>
          <w:sz w:val="32"/>
          <w:szCs w:val="32"/>
          <w:lang w:eastAsia="zh-CN"/>
        </w:rPr>
        <w:t>上年无数据</w:t>
      </w:r>
      <w:r>
        <w:rPr>
          <w:rFonts w:ascii="Times New Roman" w:hAnsi="Times New Roman" w:eastAsia="仿宋_GB2312" w:cs="Times New Roman"/>
          <w:sz w:val="32"/>
          <w:szCs w:val="32"/>
        </w:rPr>
        <w:t>。</w:t>
      </w:r>
    </w:p>
    <w:p>
      <w:pPr>
        <w:pStyle w:val="15"/>
        <w:overflowPunct w:val="0"/>
        <w:autoSpaceDE/>
        <w:autoSpaceDN/>
        <w:spacing w:line="600" w:lineRule="exact"/>
        <w:ind w:firstLine="640" w:firstLineChars="200"/>
        <w:jc w:val="both"/>
        <w:rPr>
          <w:rFonts w:ascii="Times New Roman" w:hAnsi="Times New Roman" w:eastAsia="楷体_GB2312" w:cs="Times New Roman"/>
          <w:b/>
          <w:sz w:val="32"/>
          <w:szCs w:val="32"/>
        </w:rPr>
      </w:pPr>
      <w:r>
        <w:rPr>
          <w:rFonts w:ascii="Times New Roman" w:hAnsi="Times New Roman" w:eastAsia="楷体_GB2312" w:cs="Times New Roman"/>
          <w:b/>
          <w:sz w:val="32"/>
          <w:szCs w:val="32"/>
        </w:rPr>
        <w:t>（二）</w:t>
      </w:r>
      <w:r>
        <w:rPr>
          <w:rFonts w:hint="eastAsia" w:ascii="Times New Roman" w:hAnsi="Times New Roman" w:eastAsia="楷体_GB2312" w:cs="Times New Roman"/>
          <w:b/>
          <w:sz w:val="32"/>
          <w:szCs w:val="32"/>
          <w:lang w:eastAsia="zh-CN"/>
        </w:rPr>
        <w:t>“三公”</w:t>
      </w:r>
      <w:r>
        <w:rPr>
          <w:rFonts w:ascii="Times New Roman" w:hAnsi="Times New Roman" w:eastAsia="楷体_GB2312" w:cs="Times New Roman"/>
          <w:b/>
          <w:sz w:val="32"/>
          <w:szCs w:val="32"/>
        </w:rPr>
        <w:t>经费财政拨款支出决算具体情况说明</w:t>
      </w:r>
    </w:p>
    <w:p>
      <w:pPr>
        <w:pStyle w:val="15"/>
        <w:overflowPunct w:val="0"/>
        <w:autoSpaceDE/>
        <w:autoSpaceDN/>
        <w:spacing w:line="600" w:lineRule="exact"/>
        <w:ind w:firstLine="640" w:firstLineChars="200"/>
        <w:jc w:val="both"/>
        <w:rPr>
          <w:rFonts w:ascii="Times New Roman" w:hAnsi="Times New Roman" w:eastAsia="楷体" w:cs="Times New Roman"/>
          <w:b/>
          <w:bCs/>
          <w:i/>
          <w:color w:val="auto"/>
          <w:sz w:val="32"/>
          <w:szCs w:val="32"/>
        </w:rPr>
      </w:pPr>
      <w:r>
        <w:rPr>
          <w:rFonts w:ascii="Times New Roman" w:hAnsi="Times New Roman" w:eastAsia="仿宋_GB2312" w:cs="Times New Roman"/>
          <w:sz w:val="32"/>
          <w:szCs w:val="32"/>
        </w:rPr>
        <w:t>1.</w:t>
      </w:r>
      <w:r>
        <w:rPr>
          <w:rFonts w:ascii="Times New Roman" w:hAnsi="Times New Roman" w:eastAsia="仿宋_GB2312" w:cs="Times New Roman"/>
          <w:color w:val="auto"/>
          <w:sz w:val="32"/>
          <w:szCs w:val="32"/>
        </w:rPr>
        <w:t>因公出国（境）费支出预算为</w:t>
      </w:r>
      <w:r>
        <w:rPr>
          <w:rFonts w:hint="eastAsia" w:ascii="Times New Roman" w:hAnsi="Times New Roman" w:eastAsia="仿宋_GB2312" w:cs="Times New Roman"/>
          <w:color w:val="auto"/>
          <w:sz w:val="32"/>
          <w:szCs w:val="32"/>
          <w:lang w:val="en-US" w:eastAsia="zh-CN"/>
        </w:rPr>
        <w:t>0</w:t>
      </w:r>
      <w:r>
        <w:rPr>
          <w:rFonts w:ascii="Times New Roman" w:hAnsi="Times New Roman" w:eastAsia="仿宋_GB2312" w:cs="Times New Roman"/>
          <w:color w:val="auto"/>
          <w:sz w:val="32"/>
          <w:szCs w:val="32"/>
        </w:rPr>
        <w:t>万元，支出决算为</w:t>
      </w:r>
      <w:r>
        <w:rPr>
          <w:rFonts w:hint="eastAsia" w:ascii="Times New Roman" w:hAnsi="Times New Roman" w:eastAsia="仿宋_GB2312" w:cs="Times New Roman"/>
          <w:color w:val="auto"/>
          <w:sz w:val="32"/>
          <w:szCs w:val="32"/>
          <w:lang w:val="en-US" w:eastAsia="zh-CN"/>
        </w:rPr>
        <w:t>0</w:t>
      </w:r>
      <w:r>
        <w:rPr>
          <w:rFonts w:ascii="Times New Roman" w:hAnsi="Times New Roman" w:eastAsia="仿宋_GB2312" w:cs="Times New Roman"/>
          <w:color w:val="auto"/>
          <w:sz w:val="32"/>
          <w:szCs w:val="32"/>
        </w:rPr>
        <w:t>万元，</w:t>
      </w:r>
      <w:r>
        <w:rPr>
          <w:rFonts w:hint="eastAsia" w:ascii="Times New Roman" w:hAnsi="Times New Roman" w:eastAsia="仿宋_GB2312" w:cs="Times New Roman"/>
          <w:color w:val="auto"/>
          <w:sz w:val="32"/>
          <w:szCs w:val="32"/>
          <w:lang w:eastAsia="zh-CN"/>
        </w:rPr>
        <w:t>决算数等于预算数</w:t>
      </w:r>
      <w:r>
        <w:rPr>
          <w:rFonts w:hint="eastAsia" w:ascii="Times New Roman" w:hAnsi="Times New Roman" w:eastAsia="仿宋_GB2312" w:cs="Times New Roman"/>
          <w:color w:val="auto"/>
          <w:sz w:val="32"/>
          <w:szCs w:val="32"/>
          <w:lang w:val="en-US" w:eastAsia="zh-CN"/>
        </w:rPr>
        <w:t>，主要原因是我单位严格按预算执行决算</w:t>
      </w:r>
      <w:r>
        <w:rPr>
          <w:rFonts w:ascii="Times New Roman" w:hAnsi="Times New Roman" w:eastAsia="仿宋_GB2312" w:cs="Times New Roman"/>
          <w:color w:val="auto"/>
          <w:sz w:val="32"/>
          <w:szCs w:val="32"/>
        </w:rPr>
        <w:t>；</w:t>
      </w:r>
      <w:r>
        <w:rPr>
          <w:rFonts w:hint="eastAsia" w:ascii="Times New Roman" w:hAnsi="Times New Roman" w:eastAsia="仿宋_GB2312" w:cs="Times New Roman"/>
          <w:color w:val="auto"/>
          <w:sz w:val="32"/>
          <w:szCs w:val="32"/>
          <w:lang w:val="en-US" w:eastAsia="zh-CN"/>
        </w:rPr>
        <w:t>与上年一致，无增减变动，主要原因是未安排因公出国（境）活动。</w:t>
      </w:r>
      <w:r>
        <w:rPr>
          <w:rFonts w:ascii="Times New Roman" w:hAnsi="Times New Roman" w:eastAsia="仿宋_GB2312" w:cs="Times New Roman"/>
          <w:color w:val="auto"/>
          <w:sz w:val="32"/>
          <w:szCs w:val="32"/>
        </w:rPr>
        <w:t>2024年度安排因公出国（境）团组</w:t>
      </w:r>
      <w:r>
        <w:rPr>
          <w:rFonts w:hint="eastAsia" w:ascii="Times New Roman" w:hAnsi="Times New Roman" w:eastAsia="仿宋_GB2312" w:cs="Times New Roman"/>
          <w:color w:val="auto"/>
          <w:sz w:val="32"/>
          <w:szCs w:val="32"/>
          <w:lang w:val="en-US" w:eastAsia="zh-CN"/>
        </w:rPr>
        <w:t>0</w:t>
      </w:r>
      <w:r>
        <w:rPr>
          <w:rFonts w:ascii="Times New Roman" w:hAnsi="Times New Roman" w:eastAsia="仿宋_GB2312" w:cs="Times New Roman"/>
          <w:color w:val="auto"/>
          <w:sz w:val="32"/>
          <w:szCs w:val="32"/>
        </w:rPr>
        <w:t>个，累计</w:t>
      </w:r>
      <w:r>
        <w:rPr>
          <w:rFonts w:hint="eastAsia" w:ascii="Times New Roman" w:hAnsi="Times New Roman" w:eastAsia="仿宋_GB2312" w:cs="Times New Roman"/>
          <w:color w:val="auto"/>
          <w:sz w:val="32"/>
          <w:szCs w:val="32"/>
          <w:lang w:val="en-US" w:eastAsia="zh-CN"/>
        </w:rPr>
        <w:t>0</w:t>
      </w:r>
      <w:r>
        <w:rPr>
          <w:rFonts w:ascii="Times New Roman" w:hAnsi="Times New Roman" w:eastAsia="仿宋_GB2312" w:cs="Times New Roman"/>
          <w:color w:val="auto"/>
          <w:sz w:val="32"/>
          <w:szCs w:val="32"/>
        </w:rPr>
        <w:t>人次</w:t>
      </w:r>
      <w:r>
        <w:rPr>
          <w:rFonts w:hint="eastAsia" w:ascii="Times New Roman" w:hAnsi="Times New Roman" w:eastAsia="仿宋_GB2312" w:cs="Times New Roman"/>
          <w:color w:val="auto"/>
          <w:sz w:val="32"/>
          <w:szCs w:val="32"/>
          <w:lang w:eastAsia="zh-CN"/>
        </w:rPr>
        <w:t>。</w:t>
      </w:r>
    </w:p>
    <w:p>
      <w:pPr>
        <w:pStyle w:val="15"/>
        <w:overflowPunct w:val="0"/>
        <w:autoSpaceDE/>
        <w:autoSpaceDN/>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2.公务用车购置费及运行维护费支出预算为</w:t>
      </w:r>
      <w:r>
        <w:rPr>
          <w:rFonts w:hint="eastAsia" w:ascii="Times New Roman" w:hAnsi="Times New Roman" w:eastAsia="仿宋_GB2312" w:cs="Times New Roman"/>
          <w:sz w:val="32"/>
          <w:szCs w:val="32"/>
          <w:lang w:val="en-US" w:eastAsia="zh-CN"/>
        </w:rPr>
        <w:t>4</w:t>
      </w:r>
      <w:r>
        <w:rPr>
          <w:rFonts w:ascii="Times New Roman" w:hAnsi="Times New Roman" w:eastAsia="仿宋_GB2312" w:cs="Times New Roman"/>
          <w:sz w:val="32"/>
          <w:szCs w:val="32"/>
        </w:rPr>
        <w:t>万元，支出决算为</w:t>
      </w:r>
      <w:r>
        <w:rPr>
          <w:rFonts w:hint="eastAsia" w:ascii="Times New Roman" w:hAnsi="Times New Roman" w:eastAsia="仿宋_GB2312" w:cs="Times New Roman"/>
          <w:sz w:val="32"/>
          <w:szCs w:val="32"/>
          <w:lang w:val="en-US" w:eastAsia="zh-CN"/>
        </w:rPr>
        <w:t>0.84</w:t>
      </w:r>
      <w:r>
        <w:rPr>
          <w:rFonts w:ascii="Times New Roman" w:hAnsi="Times New Roman" w:eastAsia="仿宋_GB2312" w:cs="Times New Roman"/>
          <w:sz w:val="32"/>
          <w:szCs w:val="32"/>
        </w:rPr>
        <w:t>万元，完成预算的</w:t>
      </w:r>
      <w:r>
        <w:rPr>
          <w:rFonts w:hint="eastAsia" w:ascii="Times New Roman" w:hAnsi="Times New Roman" w:eastAsia="仿宋_GB2312" w:cs="Times New Roman"/>
          <w:sz w:val="32"/>
          <w:szCs w:val="32"/>
          <w:lang w:val="en-US" w:eastAsia="zh-CN"/>
        </w:rPr>
        <w:t>21</w:t>
      </w:r>
      <w:r>
        <w:rPr>
          <w:rFonts w:ascii="Times New Roman" w:hAnsi="Times New Roman" w:eastAsia="仿宋_GB2312" w:cs="Times New Roman"/>
          <w:sz w:val="32"/>
          <w:szCs w:val="32"/>
        </w:rPr>
        <w:t>%；与上年相比增加（减少）</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万元，增长（降低）</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%。其中：</w:t>
      </w:r>
    </w:p>
    <w:p>
      <w:pPr>
        <w:pStyle w:val="15"/>
        <w:overflowPunct w:val="0"/>
        <w:autoSpaceDE/>
        <w:autoSpaceDN/>
        <w:spacing w:line="600" w:lineRule="exact"/>
        <w:ind w:firstLine="640" w:firstLineChars="200"/>
        <w:jc w:val="both"/>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公务用车购置费支出预算为</w:t>
      </w:r>
      <w:r>
        <w:rPr>
          <w:rFonts w:hint="eastAsia" w:ascii="Times New Roman" w:hAnsi="Times New Roman" w:eastAsia="仿宋_GB2312" w:cs="Times New Roman"/>
          <w:color w:val="auto"/>
          <w:sz w:val="32"/>
          <w:szCs w:val="32"/>
          <w:lang w:val="en-US" w:eastAsia="zh-CN"/>
        </w:rPr>
        <w:t>0</w:t>
      </w:r>
      <w:r>
        <w:rPr>
          <w:rFonts w:ascii="Times New Roman" w:hAnsi="Times New Roman" w:eastAsia="仿宋_GB2312" w:cs="Times New Roman"/>
          <w:color w:val="auto"/>
          <w:sz w:val="32"/>
          <w:szCs w:val="32"/>
        </w:rPr>
        <w:t>万元，支出决算为</w:t>
      </w:r>
      <w:r>
        <w:rPr>
          <w:rFonts w:hint="eastAsia" w:ascii="Times New Roman" w:hAnsi="Times New Roman" w:eastAsia="仿宋_GB2312" w:cs="Times New Roman"/>
          <w:color w:val="auto"/>
          <w:sz w:val="32"/>
          <w:szCs w:val="32"/>
          <w:lang w:val="en-US" w:eastAsia="zh-CN"/>
        </w:rPr>
        <w:t>0</w:t>
      </w:r>
      <w:r>
        <w:rPr>
          <w:rFonts w:ascii="Times New Roman" w:hAnsi="Times New Roman" w:eastAsia="仿宋_GB2312" w:cs="Times New Roman"/>
          <w:color w:val="auto"/>
          <w:sz w:val="32"/>
          <w:szCs w:val="32"/>
        </w:rPr>
        <w:t>万元，</w:t>
      </w:r>
      <w:r>
        <w:rPr>
          <w:rFonts w:hint="eastAsia" w:ascii="Times New Roman" w:hAnsi="Times New Roman" w:eastAsia="仿宋_GB2312" w:cs="Times New Roman"/>
          <w:color w:val="auto"/>
          <w:sz w:val="32"/>
          <w:szCs w:val="32"/>
          <w:lang w:val="en-US" w:eastAsia="zh-CN"/>
        </w:rPr>
        <w:t>决算数等于预算数，主要原因是我单位严格按预算执行决算</w:t>
      </w:r>
      <w:r>
        <w:rPr>
          <w:rFonts w:ascii="Times New Roman" w:hAnsi="Times New Roman" w:eastAsia="仿宋_GB2312" w:cs="Times New Roman"/>
          <w:color w:val="auto"/>
          <w:sz w:val="32"/>
          <w:szCs w:val="32"/>
        </w:rPr>
        <w:t>；</w:t>
      </w:r>
      <w:r>
        <w:rPr>
          <w:rFonts w:hint="eastAsia" w:ascii="Times New Roman" w:hAnsi="Times New Roman" w:eastAsia="仿宋_GB2312" w:cs="Times New Roman"/>
          <w:color w:val="auto"/>
          <w:sz w:val="32"/>
          <w:szCs w:val="32"/>
          <w:lang w:val="en-US" w:eastAsia="zh-CN"/>
        </w:rPr>
        <w:t>与上年一致，无增减变动，主要原因是两年均未购置公务用车。本单位</w:t>
      </w:r>
      <w:r>
        <w:rPr>
          <w:rFonts w:ascii="Times New Roman" w:hAnsi="Times New Roman" w:eastAsia="仿宋_GB2312" w:cs="Times New Roman"/>
          <w:color w:val="auto"/>
          <w:sz w:val="32"/>
          <w:szCs w:val="32"/>
        </w:rPr>
        <w:t>更新公务用车</w:t>
      </w:r>
      <w:r>
        <w:rPr>
          <w:rFonts w:hint="eastAsia" w:ascii="Times New Roman" w:hAnsi="Times New Roman" w:eastAsia="仿宋_GB2312" w:cs="Times New Roman"/>
          <w:color w:val="auto"/>
          <w:sz w:val="32"/>
          <w:szCs w:val="32"/>
          <w:lang w:val="en-US" w:eastAsia="zh-CN"/>
        </w:rPr>
        <w:t>0</w:t>
      </w:r>
      <w:r>
        <w:rPr>
          <w:rFonts w:ascii="Times New Roman" w:hAnsi="Times New Roman" w:eastAsia="仿宋_GB2312" w:cs="Times New Roman"/>
          <w:color w:val="auto"/>
          <w:sz w:val="32"/>
          <w:szCs w:val="32"/>
        </w:rPr>
        <w:t>辆</w:t>
      </w:r>
      <w:r>
        <w:rPr>
          <w:rFonts w:hint="eastAsia" w:ascii="Times New Roman" w:hAnsi="Times New Roman" w:eastAsia="仿宋_GB2312" w:cs="Times New Roman"/>
          <w:color w:val="auto"/>
          <w:sz w:val="32"/>
          <w:szCs w:val="32"/>
          <w:lang w:eastAsia="zh-CN"/>
        </w:rPr>
        <w:t>。</w:t>
      </w:r>
    </w:p>
    <w:p>
      <w:pPr>
        <w:pStyle w:val="15"/>
        <w:overflowPunct w:val="0"/>
        <w:autoSpaceDE/>
        <w:autoSpaceDN/>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公务用车运行维护费支出预算为</w:t>
      </w:r>
      <w:r>
        <w:rPr>
          <w:rFonts w:hint="eastAsia" w:ascii="Times New Roman" w:hAnsi="Times New Roman" w:eastAsia="仿宋_GB2312" w:cs="Times New Roman"/>
          <w:sz w:val="32"/>
          <w:szCs w:val="32"/>
          <w:lang w:val="en-US" w:eastAsia="zh-CN"/>
        </w:rPr>
        <w:t>4</w:t>
      </w:r>
      <w:r>
        <w:rPr>
          <w:rFonts w:ascii="Times New Roman" w:hAnsi="Times New Roman" w:eastAsia="仿宋_GB2312" w:cs="Times New Roman"/>
          <w:sz w:val="32"/>
          <w:szCs w:val="32"/>
        </w:rPr>
        <w:t>万元，支出决算为</w:t>
      </w:r>
      <w:r>
        <w:rPr>
          <w:rFonts w:hint="eastAsia" w:ascii="Times New Roman" w:hAnsi="Times New Roman" w:eastAsia="仿宋_GB2312" w:cs="Times New Roman"/>
          <w:sz w:val="32"/>
          <w:szCs w:val="32"/>
          <w:lang w:val="en-US" w:eastAsia="zh-CN"/>
        </w:rPr>
        <w:t>0.84</w:t>
      </w:r>
      <w:r>
        <w:rPr>
          <w:rFonts w:ascii="Times New Roman" w:hAnsi="Times New Roman" w:eastAsia="仿宋_GB2312" w:cs="Times New Roman"/>
          <w:sz w:val="32"/>
          <w:szCs w:val="32"/>
        </w:rPr>
        <w:t>万元，</w:t>
      </w:r>
    </w:p>
    <w:p>
      <w:pPr>
        <w:pStyle w:val="15"/>
        <w:overflowPunct w:val="0"/>
        <w:autoSpaceDE/>
        <w:autoSpaceDN/>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主要是</w:t>
      </w:r>
      <w:r>
        <w:rPr>
          <w:rFonts w:hint="eastAsia" w:ascii="Times New Roman" w:hAnsi="Times New Roman" w:eastAsia="仿宋_GB2312" w:cs="Times New Roman"/>
          <w:sz w:val="32"/>
          <w:szCs w:val="32"/>
          <w:lang w:eastAsia="zh-CN"/>
        </w:rPr>
        <w:t>燃料费、过桥过路费</w:t>
      </w:r>
      <w:r>
        <w:rPr>
          <w:rFonts w:ascii="Times New Roman" w:hAnsi="Times New Roman" w:eastAsia="仿宋_GB2312" w:cs="Times New Roman"/>
          <w:sz w:val="32"/>
          <w:szCs w:val="32"/>
        </w:rPr>
        <w:t>支出，完成预算的</w:t>
      </w:r>
      <w:r>
        <w:rPr>
          <w:rFonts w:hint="eastAsia" w:ascii="Times New Roman" w:hAnsi="Times New Roman" w:eastAsia="仿宋_GB2312" w:cs="Times New Roman"/>
          <w:sz w:val="32"/>
          <w:szCs w:val="32"/>
          <w:lang w:val="en-US" w:eastAsia="zh-CN"/>
        </w:rPr>
        <w:t>21</w:t>
      </w:r>
      <w:r>
        <w:rPr>
          <w:rFonts w:ascii="Times New Roman" w:hAnsi="Times New Roman" w:eastAsia="仿宋_GB2312" w:cs="Times New Roman"/>
          <w:sz w:val="32"/>
          <w:szCs w:val="32"/>
        </w:rPr>
        <w:t>%；与上年相比增加（减少）</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万元，增长（降低）</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%。决算数小于预算数的主要原因是</w:t>
      </w:r>
      <w:r>
        <w:rPr>
          <w:rFonts w:hint="eastAsia" w:ascii="仿宋" w:hAnsi="仿宋" w:eastAsia="仿宋" w:cs="仿宋"/>
          <w:i w:val="0"/>
          <w:caps w:val="0"/>
          <w:color w:val="000000"/>
          <w:spacing w:val="0"/>
          <w:sz w:val="32"/>
          <w:szCs w:val="32"/>
          <w:shd w:val="clear" w:color="auto" w:fill="FFFFFF"/>
        </w:rPr>
        <w:t>相关费用当年未支付</w:t>
      </w:r>
      <w:r>
        <w:rPr>
          <w:rFonts w:ascii="Times New Roman" w:hAnsi="Times New Roman" w:eastAsia="仿宋_GB2312" w:cs="Times New Roman"/>
          <w:sz w:val="32"/>
          <w:szCs w:val="32"/>
        </w:rPr>
        <w:t>。决算数小于上年数的主要原因是</w:t>
      </w:r>
      <w:r>
        <w:rPr>
          <w:rFonts w:hint="eastAsia" w:ascii="仿宋" w:hAnsi="仿宋" w:eastAsia="仿宋" w:cs="仿宋"/>
          <w:i w:val="0"/>
          <w:caps w:val="0"/>
          <w:color w:val="000000"/>
          <w:spacing w:val="0"/>
          <w:sz w:val="32"/>
          <w:szCs w:val="32"/>
          <w:shd w:val="clear" w:color="auto" w:fill="FFFFFF"/>
          <w:lang w:eastAsia="zh-CN"/>
        </w:rPr>
        <w:t>上年无数据</w:t>
      </w:r>
      <w:r>
        <w:rPr>
          <w:rFonts w:ascii="Times New Roman" w:hAnsi="Times New Roman" w:eastAsia="仿宋_GB2312" w:cs="Times New Roman"/>
          <w:sz w:val="32"/>
          <w:szCs w:val="32"/>
        </w:rPr>
        <w:t>。</w:t>
      </w:r>
      <w:r>
        <w:rPr>
          <w:rFonts w:ascii="Times New Roman" w:hAnsi="Times New Roman" w:eastAsia="仿宋_GB2312" w:cs="Times New Roman"/>
          <w:sz w:val="32"/>
          <w:szCs w:val="32"/>
          <w:highlight w:val="none"/>
        </w:rPr>
        <w:t>截止</w:t>
      </w:r>
      <w:r>
        <w:rPr>
          <w:rFonts w:hint="eastAsia" w:ascii="Times New Roman" w:hAnsi="Times New Roman" w:eastAsia="仿宋_GB2312" w:cs="Times New Roman"/>
          <w:sz w:val="32"/>
          <w:szCs w:val="32"/>
          <w:highlight w:val="none"/>
          <w:lang w:eastAsia="zh-CN"/>
        </w:rPr>
        <w:t>到</w:t>
      </w:r>
      <w:r>
        <w:rPr>
          <w:rFonts w:ascii="Times New Roman" w:hAnsi="Times New Roman" w:eastAsia="仿宋_GB2312" w:cs="Times New Roman"/>
          <w:sz w:val="32"/>
          <w:szCs w:val="32"/>
        </w:rPr>
        <w:t>2024年12月31日，我单位开支财政拨款的公务用车保有量为</w:t>
      </w:r>
      <w:r>
        <w:rPr>
          <w:rFonts w:hint="eastAsia" w:ascii="Times New Roman" w:hAnsi="Times New Roman" w:eastAsia="仿宋_GB2312" w:cs="Times New Roman"/>
          <w:sz w:val="32"/>
          <w:szCs w:val="32"/>
          <w:lang w:val="en-US" w:eastAsia="zh-CN"/>
        </w:rPr>
        <w:t>1</w:t>
      </w:r>
      <w:r>
        <w:rPr>
          <w:rFonts w:ascii="Times New Roman" w:hAnsi="Times New Roman" w:eastAsia="仿宋_GB2312" w:cs="Times New Roman"/>
          <w:sz w:val="32"/>
          <w:szCs w:val="32"/>
        </w:rPr>
        <w:t>辆。</w:t>
      </w:r>
    </w:p>
    <w:p>
      <w:pPr>
        <w:pStyle w:val="15"/>
        <w:overflowPunct w:val="0"/>
        <w:autoSpaceDE/>
        <w:autoSpaceDN/>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公务接待费支出预算为</w:t>
      </w:r>
      <w:r>
        <w:rPr>
          <w:rFonts w:hint="eastAsia" w:ascii="Times New Roman" w:hAnsi="Times New Roman" w:eastAsia="仿宋_GB2312" w:cs="Times New Roman"/>
          <w:sz w:val="32"/>
          <w:szCs w:val="32"/>
          <w:lang w:val="en-US" w:eastAsia="zh-CN"/>
        </w:rPr>
        <w:t>1</w:t>
      </w:r>
      <w:r>
        <w:rPr>
          <w:rFonts w:ascii="Times New Roman" w:hAnsi="Times New Roman" w:eastAsia="仿宋_GB2312" w:cs="Times New Roman"/>
          <w:sz w:val="32"/>
          <w:szCs w:val="32"/>
        </w:rPr>
        <w:t>万元，支出决算为</w:t>
      </w:r>
      <w:r>
        <w:rPr>
          <w:rFonts w:hint="eastAsia" w:ascii="Times New Roman" w:hAnsi="Times New Roman" w:eastAsia="仿宋_GB2312" w:cs="Times New Roman"/>
          <w:sz w:val="32"/>
          <w:szCs w:val="32"/>
          <w:lang w:val="en-US" w:eastAsia="zh-CN"/>
        </w:rPr>
        <w:t>0.32</w:t>
      </w:r>
      <w:r>
        <w:rPr>
          <w:rFonts w:ascii="Times New Roman" w:hAnsi="Times New Roman" w:eastAsia="仿宋_GB2312" w:cs="Times New Roman"/>
          <w:sz w:val="32"/>
          <w:szCs w:val="32"/>
        </w:rPr>
        <w:t>万元，完成预算的</w:t>
      </w:r>
      <w:r>
        <w:rPr>
          <w:rFonts w:hint="eastAsia" w:ascii="Times New Roman" w:hAnsi="Times New Roman" w:eastAsia="仿宋_GB2312" w:cs="Times New Roman"/>
          <w:sz w:val="32"/>
          <w:szCs w:val="32"/>
          <w:lang w:val="en-US" w:eastAsia="zh-CN"/>
        </w:rPr>
        <w:t>32</w:t>
      </w:r>
      <w:r>
        <w:rPr>
          <w:rFonts w:ascii="Times New Roman" w:hAnsi="Times New Roman" w:eastAsia="仿宋_GB2312" w:cs="Times New Roman"/>
          <w:sz w:val="32"/>
          <w:szCs w:val="32"/>
        </w:rPr>
        <w:t>%；与上年相比增加（减少）</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万元，增长（降低）</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%。决算数小于预算数的主要原因是</w:t>
      </w:r>
      <w:r>
        <w:rPr>
          <w:rFonts w:hint="eastAsia" w:ascii="仿宋" w:hAnsi="仿宋" w:eastAsia="仿宋" w:cs="仿宋"/>
          <w:i w:val="0"/>
          <w:caps w:val="0"/>
          <w:color w:val="000000"/>
          <w:spacing w:val="0"/>
          <w:sz w:val="32"/>
          <w:szCs w:val="32"/>
          <w:shd w:val="clear" w:color="auto" w:fill="FFFFFF"/>
        </w:rPr>
        <w:t>厉行节约</w:t>
      </w:r>
      <w:r>
        <w:rPr>
          <w:rFonts w:ascii="Times New Roman" w:hAnsi="Times New Roman" w:eastAsia="仿宋_GB2312" w:cs="Times New Roman"/>
          <w:sz w:val="32"/>
          <w:szCs w:val="32"/>
        </w:rPr>
        <w:t>。决算数小于上年数的主要原因是</w:t>
      </w:r>
      <w:r>
        <w:rPr>
          <w:rFonts w:hint="eastAsia" w:ascii="Times New Roman" w:hAnsi="Times New Roman" w:eastAsia="仿宋_GB2312" w:cs="Times New Roman"/>
          <w:sz w:val="32"/>
          <w:szCs w:val="32"/>
          <w:lang w:eastAsia="zh-CN"/>
        </w:rPr>
        <w:t>上年无数据</w:t>
      </w:r>
      <w:r>
        <w:rPr>
          <w:rFonts w:ascii="Times New Roman" w:hAnsi="Times New Roman" w:eastAsia="仿宋_GB2312" w:cs="Times New Roman"/>
          <w:sz w:val="32"/>
          <w:szCs w:val="32"/>
        </w:rPr>
        <w:t>。2024年度共接待来访团组</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个、来宾</w:t>
      </w:r>
      <w:r>
        <w:rPr>
          <w:rFonts w:hint="eastAsia" w:ascii="Times New Roman" w:hAnsi="Times New Roman" w:eastAsia="仿宋_GB2312" w:cs="Times New Roman"/>
          <w:sz w:val="32"/>
          <w:szCs w:val="32"/>
          <w:lang w:val="en-US" w:eastAsia="zh-CN"/>
        </w:rPr>
        <w:t>26</w:t>
      </w:r>
      <w:r>
        <w:rPr>
          <w:rFonts w:ascii="Times New Roman" w:hAnsi="Times New Roman" w:eastAsia="仿宋_GB2312" w:cs="Times New Roman"/>
          <w:sz w:val="32"/>
          <w:szCs w:val="32"/>
        </w:rPr>
        <w:t>人次，主要是</w:t>
      </w:r>
      <w:r>
        <w:rPr>
          <w:rFonts w:hint="eastAsia" w:ascii="Times New Roman" w:hAnsi="Times New Roman" w:eastAsia="仿宋_GB2312" w:cs="Times New Roman"/>
          <w:sz w:val="32"/>
          <w:szCs w:val="32"/>
          <w:lang w:eastAsia="zh-CN"/>
        </w:rPr>
        <w:t>外单位来考察交流</w:t>
      </w:r>
      <w:r>
        <w:rPr>
          <w:rFonts w:ascii="Times New Roman" w:hAnsi="Times New Roman" w:eastAsia="仿宋_GB2312" w:cs="Times New Roman"/>
          <w:sz w:val="32"/>
          <w:szCs w:val="32"/>
        </w:rPr>
        <w:t>发生的接待支出。</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color w:val="auto"/>
          <w:sz w:val="32"/>
          <w:szCs w:val="32"/>
        </w:rPr>
      </w:pPr>
      <w:r>
        <w:rPr>
          <w:rFonts w:hint="eastAsia" w:ascii="Times New Roman" w:hAnsi="Times New Roman" w:eastAsia="仿宋_GB2312"/>
          <w:b/>
          <w:color w:val="auto"/>
          <w:sz w:val="32"/>
          <w:szCs w:val="32"/>
          <w:lang w:eastAsia="zh-CN"/>
        </w:rPr>
        <w:t>十</w:t>
      </w:r>
      <w:r>
        <w:rPr>
          <w:rFonts w:hint="eastAsia" w:ascii="Times New Roman" w:hAnsi="Times New Roman" w:eastAsia="仿宋_GB2312"/>
          <w:b/>
          <w:color w:val="auto"/>
          <w:sz w:val="32"/>
          <w:szCs w:val="32"/>
        </w:rPr>
        <w:t>、关于机关运行经费支出说明</w:t>
      </w:r>
    </w:p>
    <w:p>
      <w:pPr>
        <w:pStyle w:val="15"/>
        <w:ind w:firstLine="640" w:firstLineChars="200"/>
        <w:rPr>
          <w:rFonts w:ascii="Times New Roman" w:hAnsi="Times New Roman" w:eastAsia="仿宋_GB2312"/>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年度机关运行经费支出</w:t>
      </w:r>
      <w:r>
        <w:rPr>
          <w:rFonts w:hint="eastAsia" w:ascii="仿宋_GB2312" w:hAnsi="仿宋_GB2312" w:eastAsia="仿宋_GB2312" w:cs="仿宋_GB2312"/>
          <w:sz w:val="32"/>
          <w:szCs w:val="32"/>
          <w:lang w:val="en-US" w:eastAsia="zh-CN"/>
        </w:rPr>
        <w:t>65.78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highlight w:val="none"/>
        </w:rPr>
        <w:t>比年初预算数（或者上年决算数）增加（减少）</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 xml:space="preserve"> 万元，增长（降低）</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%。主要原因是：</w:t>
      </w:r>
      <w:r>
        <w:rPr>
          <w:rFonts w:hint="eastAsia" w:ascii="仿宋_GB2312" w:hAnsi="仿宋_GB2312" w:eastAsia="仿宋_GB2312" w:cs="仿宋_GB2312"/>
          <w:sz w:val="32"/>
          <w:szCs w:val="32"/>
          <w:highlight w:val="none"/>
          <w:lang w:eastAsia="zh-CN"/>
        </w:rPr>
        <w:t>无预算数据、无上年数据。</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一</w:t>
      </w:r>
      <w:r>
        <w:rPr>
          <w:rFonts w:hint="eastAsia" w:ascii="黑体" w:hAnsi="黑体" w:eastAsia="黑体" w:cs="黑体"/>
          <w:b w:val="0"/>
          <w:bCs/>
          <w:sz w:val="32"/>
          <w:szCs w:val="32"/>
        </w:rPr>
        <w:t>、一般性支出情况说明</w:t>
      </w:r>
    </w:p>
    <w:p>
      <w:pPr>
        <w:pStyle w:val="15"/>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年度，会议费年初预算0万元，支出决算为0.3万元。用于召开数据要素x大赛岳阳现场宣讲会，</w:t>
      </w:r>
      <w:r>
        <w:rPr>
          <w:rFonts w:hint="eastAsia" w:ascii="仿宋_GB2312" w:hAnsi="仿宋_GB2312" w:eastAsia="仿宋_GB2312" w:cs="仿宋_GB2312"/>
          <w:sz w:val="32"/>
          <w:szCs w:val="32"/>
        </w:rPr>
        <w:t>人数</w:t>
      </w:r>
      <w:r>
        <w:rPr>
          <w:rFonts w:hint="eastAsia" w:ascii="仿宋_GB2312" w:hAnsi="仿宋_GB2312" w:eastAsia="仿宋_GB2312" w:cs="仿宋_GB2312"/>
          <w:sz w:val="32"/>
          <w:szCs w:val="32"/>
          <w:lang w:val="en-US" w:eastAsia="zh-CN"/>
        </w:rPr>
        <w:t>50</w:t>
      </w:r>
      <w:r>
        <w:rPr>
          <w:rFonts w:hint="eastAsia" w:ascii="仿宋_GB2312" w:hAnsi="仿宋_GB2312" w:eastAsia="仿宋_GB2312" w:cs="仿宋_GB2312"/>
          <w:sz w:val="32"/>
          <w:szCs w:val="32"/>
        </w:rPr>
        <w:t>人，内容为</w:t>
      </w:r>
      <w:r>
        <w:rPr>
          <w:rFonts w:hint="eastAsia" w:ascii="仿宋_GB2312" w:hAnsi="仿宋_GB2312" w:eastAsia="仿宋_GB2312" w:cs="仿宋_GB2312"/>
          <w:sz w:val="32"/>
          <w:szCs w:val="32"/>
          <w:lang w:eastAsia="zh-CN"/>
        </w:rPr>
        <w:t>宣传发动数据要素</w:t>
      </w:r>
      <w:r>
        <w:rPr>
          <w:rFonts w:hint="eastAsia" w:ascii="仿宋_GB2312" w:hAnsi="仿宋_GB2312" w:eastAsia="仿宋_GB2312" w:cs="仿宋_GB2312"/>
          <w:sz w:val="32"/>
          <w:szCs w:val="32"/>
          <w:lang w:val="en-US" w:eastAsia="zh-CN"/>
        </w:rPr>
        <w:t>x大赛</w:t>
      </w:r>
      <w:r>
        <w:rPr>
          <w:rFonts w:hint="eastAsia" w:ascii="仿宋_GB2312" w:hAnsi="仿宋_GB2312" w:eastAsia="仿宋_GB2312" w:cs="仿宋_GB2312"/>
          <w:sz w:val="32"/>
          <w:szCs w:val="32"/>
          <w:lang w:eastAsia="zh-CN"/>
        </w:rPr>
        <w:t>。</w:t>
      </w:r>
    </w:p>
    <w:p>
      <w:pPr>
        <w:widowControl w:val="0"/>
        <w:autoSpaceDE w:val="0"/>
        <w:autoSpaceDN w:val="0"/>
        <w:adjustRightInd w:val="0"/>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培训费年初预算0万元，支出决算为0.83万元。用于开展互联网发展趋势和数字经济的未来、政务数据建设培训和参加党校培训，人数135人，内容为互联网发展趋势和数字经济的未来、政务数据建设等。</w:t>
      </w:r>
    </w:p>
    <w:p>
      <w:pPr>
        <w:widowControl w:val="0"/>
        <w:autoSpaceDE w:val="0"/>
        <w:autoSpaceDN w:val="0"/>
        <w:adjustRightInd w:val="0"/>
        <w:ind w:firstLine="640" w:firstLineChars="200"/>
        <w:rPr>
          <w:rFonts w:hint="eastAsia" w:ascii="仿宋_GB2312" w:hAnsi="仿宋_GB2312" w:eastAsia="仿宋_GB2312" w:cs="仿宋_GB2312"/>
          <w:b/>
          <w:bCs/>
          <w:i/>
          <w:color w:val="FF0000"/>
          <w:kern w:val="0"/>
          <w:sz w:val="32"/>
          <w:szCs w:val="32"/>
          <w:highlight w:val="yellow"/>
          <w:lang w:val="en-US" w:eastAsia="zh-CN" w:bidi="ar-SA"/>
        </w:rPr>
      </w:pPr>
      <w:r>
        <w:rPr>
          <w:rFonts w:hint="eastAsia" w:ascii="仿宋_GB2312" w:hAnsi="仿宋_GB2312" w:eastAsia="仿宋_GB2312" w:cs="仿宋_GB2312"/>
          <w:color w:val="000000"/>
          <w:kern w:val="0"/>
          <w:sz w:val="32"/>
          <w:szCs w:val="32"/>
          <w:lang w:val="en-US" w:eastAsia="zh-CN" w:bidi="ar-SA"/>
        </w:rPr>
        <w:t>举办节庆、晚会、论坛、赛事活动年初预算0万元，支出决算为0万元，本单位无举办节庆、晚会、论坛、赛事等活动的预算和支出决算数</w:t>
      </w:r>
      <w:r>
        <w:rPr>
          <w:rFonts w:hint="eastAsia" w:ascii="仿宋_GB2312" w:hAnsi="仿宋_GB2312" w:eastAsia="仿宋_GB2312" w:cs="仿宋_GB2312"/>
          <w:color w:val="000000"/>
          <w:kern w:val="0"/>
          <w:sz w:val="32"/>
          <w:szCs w:val="32"/>
          <w:lang w:val="en-US" w:eastAsia="zh-CN" w:bidi="ar-SA"/>
        </w:rPr>
        <w:t>。</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二</w:t>
      </w:r>
      <w:r>
        <w:rPr>
          <w:rFonts w:hint="eastAsia" w:ascii="黑体" w:hAnsi="黑体" w:eastAsia="黑体" w:cs="黑体"/>
          <w:b w:val="0"/>
          <w:bCs/>
          <w:sz w:val="32"/>
          <w:szCs w:val="32"/>
        </w:rPr>
        <w:t>、关于政府采购支出说明</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年度政府采购支出总额</w:t>
      </w:r>
      <w:r>
        <w:rPr>
          <w:rFonts w:hint="eastAsia" w:ascii="仿宋_GB2312" w:hAnsi="仿宋_GB2312" w:eastAsia="仿宋_GB2312" w:cs="仿宋_GB2312"/>
          <w:sz w:val="32"/>
          <w:szCs w:val="32"/>
          <w:lang w:val="en-US" w:eastAsia="zh-CN"/>
        </w:rPr>
        <w:t>186.82</w:t>
      </w:r>
      <w:r>
        <w:rPr>
          <w:rFonts w:hint="eastAsia" w:ascii="仿宋_GB2312" w:hAnsi="仿宋_GB2312" w:eastAsia="仿宋_GB2312" w:cs="仿宋_GB2312"/>
          <w:sz w:val="32"/>
          <w:szCs w:val="32"/>
        </w:rPr>
        <w:t>万元，其中：政府采购货物支出</w:t>
      </w:r>
      <w:r>
        <w:rPr>
          <w:rFonts w:hint="eastAsia" w:ascii="仿宋_GB2312" w:hAnsi="仿宋_GB2312" w:eastAsia="仿宋_GB2312" w:cs="仿宋_GB2312"/>
          <w:sz w:val="32"/>
          <w:szCs w:val="32"/>
          <w:lang w:val="en-US" w:eastAsia="zh-CN"/>
        </w:rPr>
        <w:t>50.64</w:t>
      </w:r>
      <w:r>
        <w:rPr>
          <w:rFonts w:hint="eastAsia" w:ascii="仿宋_GB2312" w:hAnsi="仿宋_GB2312" w:eastAsia="仿宋_GB2312" w:cs="仿宋_GB2312"/>
          <w:sz w:val="32"/>
          <w:szCs w:val="32"/>
        </w:rPr>
        <w:t>万元、政府采购工程支出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万元、政府采购服务支出</w:t>
      </w:r>
      <w:r>
        <w:rPr>
          <w:rFonts w:hint="eastAsia" w:ascii="仿宋_GB2312" w:hAnsi="仿宋_GB2312" w:eastAsia="仿宋_GB2312" w:cs="仿宋_GB2312"/>
          <w:sz w:val="32"/>
          <w:szCs w:val="32"/>
          <w:lang w:val="en-US" w:eastAsia="zh-CN"/>
        </w:rPr>
        <w:t>136.18</w:t>
      </w:r>
      <w:r>
        <w:rPr>
          <w:rFonts w:hint="eastAsia" w:ascii="仿宋_GB2312" w:hAnsi="仿宋_GB2312" w:eastAsia="仿宋_GB2312" w:cs="仿宋_GB2312"/>
          <w:sz w:val="32"/>
          <w:szCs w:val="32"/>
        </w:rPr>
        <w:t>万元。授予中小企业合同金额</w:t>
      </w:r>
      <w:r>
        <w:rPr>
          <w:rFonts w:hint="eastAsia" w:ascii="仿宋_GB2312" w:hAnsi="仿宋_GB2312" w:eastAsia="仿宋_GB2312" w:cs="仿宋_GB2312"/>
          <w:sz w:val="32"/>
          <w:szCs w:val="32"/>
          <w:lang w:val="en-US" w:eastAsia="zh-CN"/>
        </w:rPr>
        <w:t>186.82</w:t>
      </w:r>
      <w:r>
        <w:rPr>
          <w:rFonts w:hint="eastAsia" w:ascii="仿宋_GB2312" w:hAnsi="仿宋_GB2312" w:eastAsia="仿宋_GB2312" w:cs="仿宋_GB2312"/>
          <w:sz w:val="32"/>
          <w:szCs w:val="32"/>
        </w:rPr>
        <w:t>万元，占政府采购支出总额的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%，其中：授予小微企业合同金额</w:t>
      </w:r>
      <w:r>
        <w:rPr>
          <w:rFonts w:hint="eastAsia" w:ascii="仿宋_GB2312" w:hAnsi="仿宋_GB2312" w:eastAsia="仿宋_GB2312" w:cs="仿宋_GB2312"/>
          <w:sz w:val="32"/>
          <w:szCs w:val="32"/>
          <w:lang w:val="en-US" w:eastAsia="zh-CN"/>
        </w:rPr>
        <w:t>186.82</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auto"/>
          <w:sz w:val="32"/>
          <w:szCs w:val="32"/>
        </w:rPr>
        <w:t>占</w:t>
      </w:r>
      <w:r>
        <w:rPr>
          <w:rFonts w:hint="eastAsia" w:ascii="仿宋_GB2312" w:hAnsi="仿宋_GB2312" w:eastAsia="仿宋_GB2312" w:cs="仿宋_GB2312"/>
          <w:color w:val="auto"/>
          <w:sz w:val="32"/>
          <w:szCs w:val="32"/>
          <w:lang w:eastAsia="zh-CN"/>
        </w:rPr>
        <w:t>授予中小企业合同金额</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%。货物采购授予中小</w:t>
      </w:r>
      <w:r>
        <w:rPr>
          <w:rFonts w:hint="eastAsia" w:ascii="Times New Roman" w:hAnsi="Times New Roman" w:eastAsia="仿宋_GB2312"/>
          <w:color w:val="auto"/>
          <w:sz w:val="32"/>
          <w:szCs w:val="32"/>
        </w:rPr>
        <w:t>企业合同金</w:t>
      </w:r>
      <w:r>
        <w:rPr>
          <w:rFonts w:hint="eastAsia" w:ascii="仿宋_GB2312" w:hAnsi="仿宋_GB2312" w:eastAsia="仿宋_GB2312" w:cs="仿宋_GB2312"/>
          <w:color w:val="auto"/>
          <w:sz w:val="32"/>
          <w:szCs w:val="32"/>
        </w:rPr>
        <w:t>额占货物支出金额的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%，工程采购授予中小企业合同金额占工程支出金额的</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%，服务采购授予中小企业合同金额占服务支出金额的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p>
    <w:p>
      <w:pPr>
        <w:pStyle w:val="15"/>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三</w:t>
      </w:r>
      <w:r>
        <w:rPr>
          <w:rFonts w:hint="eastAsia" w:ascii="黑体" w:hAnsi="黑体" w:eastAsia="黑体" w:cs="黑体"/>
          <w:b w:val="0"/>
          <w:bCs/>
          <w:color w:val="auto"/>
          <w:sz w:val="32"/>
          <w:szCs w:val="32"/>
        </w:rPr>
        <w:t>、关于国有资产占用情况说明</w:t>
      </w:r>
    </w:p>
    <w:p>
      <w:pPr>
        <w:pStyle w:val="15"/>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仿宋_GB2312" w:hAnsi="仿宋_GB2312" w:eastAsia="仿宋_GB2312" w:cs="仿宋_GB2312"/>
          <w:color w:val="auto"/>
          <w:sz w:val="32"/>
          <w:szCs w:val="32"/>
        </w:rPr>
        <w:t>截至202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年12月31日，</w:t>
      </w:r>
      <w:r>
        <w:rPr>
          <w:rFonts w:hint="eastAsia" w:ascii="仿宋_GB2312" w:hAnsi="仿宋_GB2312" w:eastAsia="仿宋_GB2312" w:cs="仿宋_GB2312"/>
          <w:color w:val="auto"/>
          <w:sz w:val="32"/>
          <w:szCs w:val="32"/>
          <w:lang w:eastAsia="zh-CN"/>
        </w:rPr>
        <w:t>部门（单位）</w:t>
      </w:r>
      <w:r>
        <w:rPr>
          <w:rFonts w:hint="eastAsia" w:ascii="仿宋_GB2312" w:hAnsi="仿宋_GB2312" w:eastAsia="仿宋_GB2312" w:cs="仿宋_GB2312"/>
          <w:color w:val="auto"/>
          <w:sz w:val="32"/>
          <w:szCs w:val="32"/>
        </w:rPr>
        <w:t>共有车辆</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辆，其中</w:t>
      </w:r>
      <w:r>
        <w:rPr>
          <w:rFonts w:hint="eastAsia" w:ascii="仿宋_GB2312" w:hAnsi="仿宋_GB2312" w:eastAsia="仿宋_GB2312" w:cs="仿宋_GB2312"/>
          <w:color w:val="auto"/>
          <w:sz w:val="32"/>
          <w:szCs w:val="32"/>
          <w:lang w:eastAsia="zh-CN"/>
        </w:rPr>
        <w:t>，副部（省）级及以上领导用车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主要</w:t>
      </w:r>
      <w:r>
        <w:rPr>
          <w:rFonts w:hint="eastAsia" w:ascii="仿宋_GB2312" w:hAnsi="仿宋_GB2312" w:eastAsia="仿宋_GB2312" w:cs="仿宋_GB2312"/>
          <w:color w:val="auto"/>
          <w:sz w:val="32"/>
          <w:szCs w:val="32"/>
          <w:lang w:eastAsia="zh-CN"/>
        </w:rPr>
        <w:t>负责人</w:t>
      </w:r>
      <w:r>
        <w:rPr>
          <w:rFonts w:hint="eastAsia" w:ascii="仿宋_GB2312" w:hAnsi="仿宋_GB2312" w:eastAsia="仿宋_GB2312" w:cs="仿宋_GB2312"/>
          <w:color w:val="auto"/>
          <w:sz w:val="32"/>
          <w:szCs w:val="32"/>
        </w:rPr>
        <w:t>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机要通信用车</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辆、应急保障用车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辆、执法执勤用车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辆、特种专业技术用车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离退休干部服务用车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辆、其他用车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辆；单位价值100万元以上设备</w:t>
      </w:r>
      <w:r>
        <w:rPr>
          <w:rFonts w:hint="eastAsia" w:ascii="仿宋_GB2312" w:hAnsi="仿宋_GB2312" w:eastAsia="仿宋_GB2312" w:cs="仿宋_GB2312"/>
          <w:color w:val="auto"/>
          <w:sz w:val="32"/>
          <w:szCs w:val="32"/>
          <w:lang w:eastAsia="zh-CN"/>
        </w:rPr>
        <w:t>（不含车辆）</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台（套）。</w:t>
      </w:r>
    </w:p>
    <w:p>
      <w:pPr>
        <w:pStyle w:val="15"/>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highlight w:val="none"/>
        </w:rPr>
      </w:pPr>
      <w:r>
        <w:rPr>
          <w:rFonts w:hint="eastAsia" w:ascii="黑体" w:hAnsi="黑体" w:eastAsia="黑体" w:cs="黑体"/>
          <w:b w:val="0"/>
          <w:bCs/>
          <w:color w:val="auto"/>
          <w:sz w:val="32"/>
          <w:szCs w:val="32"/>
          <w:highlight w:val="none"/>
        </w:rPr>
        <w:t>十</w:t>
      </w:r>
      <w:r>
        <w:rPr>
          <w:rFonts w:hint="eastAsia" w:hAnsi="黑体" w:cs="黑体"/>
          <w:b w:val="0"/>
          <w:bCs/>
          <w:color w:val="auto"/>
          <w:sz w:val="32"/>
          <w:szCs w:val="32"/>
          <w:highlight w:val="none"/>
          <w:lang w:eastAsia="zh-CN"/>
        </w:rPr>
        <w:t>四</w:t>
      </w:r>
      <w:r>
        <w:rPr>
          <w:rFonts w:hint="eastAsia" w:ascii="黑体" w:hAnsi="黑体" w:eastAsia="黑体" w:cs="黑体"/>
          <w:b w:val="0"/>
          <w:bCs/>
          <w:color w:val="auto"/>
          <w:sz w:val="32"/>
          <w:szCs w:val="32"/>
          <w:highlight w:val="none"/>
        </w:rPr>
        <w:t>、关于</w:t>
      </w:r>
      <w:r>
        <w:rPr>
          <w:rFonts w:hint="eastAsia" w:ascii="Times New Roman" w:hAnsi="Times New Roman" w:eastAsia="仿宋_GB2312"/>
          <w:color w:val="auto"/>
          <w:sz w:val="32"/>
          <w:szCs w:val="32"/>
          <w:highlight w:val="none"/>
        </w:rPr>
        <w:t>202</w:t>
      </w:r>
      <w:r>
        <w:rPr>
          <w:rFonts w:hint="eastAsia" w:ascii="Times New Roman" w:hAnsi="Times New Roman" w:eastAsia="仿宋_GB2312"/>
          <w:color w:val="auto"/>
          <w:sz w:val="32"/>
          <w:szCs w:val="32"/>
          <w:highlight w:val="none"/>
          <w:lang w:val="en-US" w:eastAsia="zh-CN"/>
        </w:rPr>
        <w:t>4</w:t>
      </w:r>
      <w:r>
        <w:rPr>
          <w:rFonts w:hint="eastAsia" w:ascii="黑体" w:hAnsi="黑体" w:eastAsia="黑体" w:cs="黑体"/>
          <w:b w:val="0"/>
          <w:bCs/>
          <w:color w:val="auto"/>
          <w:sz w:val="32"/>
          <w:szCs w:val="32"/>
          <w:highlight w:val="none"/>
        </w:rPr>
        <w:t>年度</w:t>
      </w:r>
      <w:r>
        <w:rPr>
          <w:rFonts w:hint="eastAsia" w:hAnsi="黑体" w:cs="黑体"/>
          <w:b w:val="0"/>
          <w:bCs/>
          <w:color w:val="auto"/>
          <w:sz w:val="32"/>
          <w:szCs w:val="32"/>
          <w:highlight w:val="none"/>
          <w:lang w:eastAsia="zh-CN"/>
        </w:rPr>
        <w:t>预算</w:t>
      </w:r>
      <w:r>
        <w:rPr>
          <w:rFonts w:hint="eastAsia" w:ascii="黑体" w:hAnsi="黑体" w:eastAsia="黑体" w:cs="黑体"/>
          <w:b w:val="0"/>
          <w:bCs/>
          <w:color w:val="auto"/>
          <w:sz w:val="32"/>
          <w:szCs w:val="32"/>
          <w:highlight w:val="none"/>
        </w:rPr>
        <w:t>绩效</w:t>
      </w:r>
      <w:r>
        <w:rPr>
          <w:rFonts w:hint="eastAsia" w:hAnsi="黑体" w:cs="黑体"/>
          <w:b w:val="0"/>
          <w:bCs/>
          <w:color w:val="auto"/>
          <w:sz w:val="32"/>
          <w:szCs w:val="32"/>
          <w:highlight w:val="none"/>
          <w:lang w:eastAsia="zh-CN"/>
        </w:rPr>
        <w:t>管理</w:t>
      </w:r>
      <w:r>
        <w:rPr>
          <w:rFonts w:hint="eastAsia" w:ascii="黑体" w:hAnsi="黑体" w:eastAsia="黑体" w:cs="黑体"/>
          <w:b w:val="0"/>
          <w:bCs/>
          <w:color w:val="auto"/>
          <w:sz w:val="32"/>
          <w:szCs w:val="32"/>
          <w:highlight w:val="none"/>
        </w:rPr>
        <w:t>情况的说明</w:t>
      </w:r>
    </w:p>
    <w:p>
      <w:pPr>
        <w:overflowPunct w:val="0"/>
        <w:spacing w:line="600" w:lineRule="exact"/>
        <w:ind w:firstLine="640"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（一）绩效评价工作开展情况</w:t>
      </w:r>
    </w:p>
    <w:p>
      <w:pPr>
        <w:overflowPunct w:val="0"/>
        <w:spacing w:line="600" w:lineRule="exact"/>
        <w:ind w:firstLine="640" w:firstLineChars="200"/>
        <w:rPr>
          <w:rFonts w:ascii="Times New Roman" w:hAnsi="Times New Roman" w:eastAsia="仿宋_GB2312" w:cs="Times New Roman"/>
          <w:kern w:val="0"/>
          <w:sz w:val="32"/>
          <w:szCs w:val="32"/>
          <w:highlight w:val="none"/>
        </w:rPr>
      </w:pPr>
      <w:r>
        <w:rPr>
          <w:rFonts w:hint="eastAsia" w:ascii="Times New Roman" w:hAnsi="Times New Roman" w:eastAsia="仿宋_GB2312" w:cs="Times New Roman"/>
          <w:kern w:val="0"/>
          <w:sz w:val="32"/>
          <w:szCs w:val="32"/>
          <w:highlight w:val="none"/>
          <w:lang w:val="en-US" w:eastAsia="zh-CN"/>
        </w:rPr>
        <w:t>1.</w:t>
      </w:r>
      <w:r>
        <w:rPr>
          <w:rFonts w:hint="eastAsia" w:ascii="Times New Roman" w:hAnsi="Times New Roman" w:eastAsia="仿宋_GB2312" w:cs="Times New Roman"/>
          <w:b/>
          <w:bCs/>
          <w:kern w:val="0"/>
          <w:sz w:val="32"/>
          <w:szCs w:val="32"/>
          <w:lang w:val="en-US" w:eastAsia="zh-CN"/>
        </w:rPr>
        <w:t>绩</w:t>
      </w:r>
      <w:r>
        <w:rPr>
          <w:rFonts w:ascii="Times New Roman" w:hAnsi="Times New Roman" w:eastAsia="仿宋_GB2312" w:cs="Times New Roman"/>
          <w:b/>
          <w:bCs/>
          <w:kern w:val="0"/>
          <w:sz w:val="32"/>
          <w:szCs w:val="32"/>
        </w:rPr>
        <w:t>效自评开展情况。</w:t>
      </w:r>
      <w:r>
        <w:rPr>
          <w:rFonts w:ascii="Times New Roman" w:hAnsi="Times New Roman" w:eastAsia="仿宋_GB2312" w:cs="Times New Roman"/>
          <w:kern w:val="0"/>
          <w:sz w:val="32"/>
          <w:szCs w:val="32"/>
        </w:rPr>
        <w:t>组织对2024年度本部门（单位）整体支出开展绩效自评，涉及项目</w:t>
      </w:r>
      <w:r>
        <w:rPr>
          <w:rFonts w:hint="eastAsia" w:ascii="Times New Roman" w:hAnsi="Times New Roman" w:eastAsia="仿宋_GB2312" w:cs="Times New Roman"/>
          <w:kern w:val="0"/>
          <w:sz w:val="32"/>
          <w:szCs w:val="32"/>
          <w:lang w:val="en-US" w:eastAsia="zh-CN"/>
        </w:rPr>
        <w:t>22</w:t>
      </w:r>
      <w:r>
        <w:rPr>
          <w:rFonts w:ascii="Times New Roman" w:hAnsi="Times New Roman" w:eastAsia="仿宋_GB2312" w:cs="Times New Roman"/>
          <w:kern w:val="0"/>
          <w:sz w:val="32"/>
          <w:szCs w:val="32"/>
        </w:rPr>
        <w:t xml:space="preserve"> 个，共涉及资金</w:t>
      </w:r>
      <w:r>
        <w:rPr>
          <w:rFonts w:hint="eastAsia" w:ascii="Times New Roman" w:hAnsi="Times New Roman" w:eastAsia="仿宋_GB2312" w:cs="Times New Roman"/>
          <w:kern w:val="0"/>
          <w:sz w:val="32"/>
          <w:szCs w:val="32"/>
          <w:lang w:val="en-US" w:eastAsia="zh-CN"/>
        </w:rPr>
        <w:t>2284.93</w:t>
      </w:r>
      <w:r>
        <w:rPr>
          <w:rFonts w:ascii="Times New Roman" w:hAnsi="Times New Roman" w:eastAsia="仿宋_GB2312" w:cs="Times New Roman"/>
          <w:kern w:val="0"/>
          <w:sz w:val="32"/>
          <w:szCs w:val="32"/>
        </w:rPr>
        <w:t>万元。其中，一般公共预算项目</w:t>
      </w:r>
      <w:r>
        <w:rPr>
          <w:rFonts w:hint="eastAsia" w:ascii="Times New Roman" w:hAnsi="Times New Roman" w:eastAsia="仿宋_GB2312" w:cs="Times New Roman"/>
          <w:kern w:val="0"/>
          <w:sz w:val="32"/>
          <w:szCs w:val="32"/>
          <w:lang w:val="en-US" w:eastAsia="zh-CN"/>
        </w:rPr>
        <w:t>22</w:t>
      </w:r>
      <w:r>
        <w:rPr>
          <w:rFonts w:ascii="Times New Roman" w:hAnsi="Times New Roman" w:eastAsia="仿宋_GB2312" w:cs="Times New Roman"/>
          <w:kern w:val="0"/>
          <w:sz w:val="32"/>
          <w:szCs w:val="32"/>
        </w:rPr>
        <w:t xml:space="preserve"> 个</w:t>
      </w:r>
      <w:r>
        <w:rPr>
          <w:rFonts w:hint="eastAsia" w:ascii="Times New Roman" w:hAnsi="Times New Roman" w:eastAsia="仿宋_GB2312" w:cs="Times New Roman"/>
          <w:kern w:val="0"/>
          <w:sz w:val="32"/>
          <w:szCs w:val="32"/>
          <w:lang w:val="en-US" w:eastAsia="zh-CN"/>
        </w:rPr>
        <w:t>2284.93</w:t>
      </w:r>
      <w:r>
        <w:rPr>
          <w:rFonts w:ascii="Times New Roman" w:hAnsi="Times New Roman" w:eastAsia="仿宋_GB2312" w:cs="Times New Roman"/>
          <w:kern w:val="0"/>
          <w:sz w:val="32"/>
          <w:szCs w:val="32"/>
        </w:rPr>
        <w:t>万元，占一般公共预算支出总额的</w:t>
      </w:r>
      <w:r>
        <w:rPr>
          <w:rFonts w:hint="eastAsia" w:ascii="Times New Roman" w:hAnsi="Times New Roman" w:eastAsia="仿宋_GB2312" w:cs="Times New Roman"/>
          <w:kern w:val="0"/>
          <w:sz w:val="32"/>
          <w:szCs w:val="32"/>
          <w:lang w:val="en-US" w:eastAsia="zh-CN"/>
        </w:rPr>
        <w:t>100</w:t>
      </w:r>
      <w:r>
        <w:rPr>
          <w:rFonts w:ascii="Times New Roman" w:hAnsi="Times New Roman" w:eastAsia="仿宋_GB2312" w:cs="Times New Roman"/>
          <w:kern w:val="0"/>
          <w:sz w:val="32"/>
          <w:szCs w:val="32"/>
        </w:rPr>
        <w:t>%；政府性基金预算项目</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个</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 xml:space="preserve"> 万元，占政府性基金预算支出总额的</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%；国有资本经营预算项目</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 xml:space="preserve"> 个</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万元，占国有资本经营预算支出总额的</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w:t>
      </w:r>
      <w:r>
        <w:rPr>
          <w:rFonts w:ascii="Times New Roman" w:hAnsi="Times New Roman" w:eastAsia="仿宋_GB2312" w:cs="Times New Roman"/>
          <w:kern w:val="0"/>
          <w:sz w:val="32"/>
          <w:szCs w:val="32"/>
          <w:highlight w:val="none"/>
        </w:rPr>
        <w:t>社会保险基金预算项目</w:t>
      </w:r>
      <w:r>
        <w:rPr>
          <w:rFonts w:hint="eastAsia" w:ascii="Times New Roman" w:hAnsi="Times New Roman" w:eastAsia="仿宋_GB2312" w:cs="Times New Roman"/>
          <w:kern w:val="0"/>
          <w:sz w:val="32"/>
          <w:szCs w:val="32"/>
          <w:highlight w:val="none"/>
          <w:lang w:val="en-US" w:eastAsia="zh-CN"/>
        </w:rPr>
        <w:t>0</w:t>
      </w:r>
      <w:r>
        <w:rPr>
          <w:rFonts w:ascii="Times New Roman" w:hAnsi="Times New Roman" w:eastAsia="仿宋_GB2312" w:cs="Times New Roman"/>
          <w:kern w:val="0"/>
          <w:sz w:val="32"/>
          <w:szCs w:val="32"/>
          <w:highlight w:val="none"/>
        </w:rPr>
        <w:t xml:space="preserve"> 个</w:t>
      </w:r>
      <w:r>
        <w:rPr>
          <w:rFonts w:hint="eastAsia" w:ascii="Times New Roman" w:hAnsi="Times New Roman" w:eastAsia="仿宋_GB2312" w:cs="Times New Roman"/>
          <w:kern w:val="0"/>
          <w:sz w:val="32"/>
          <w:szCs w:val="32"/>
          <w:highlight w:val="none"/>
          <w:lang w:val="en-US" w:eastAsia="zh-CN"/>
        </w:rPr>
        <w:t>0</w:t>
      </w:r>
      <w:r>
        <w:rPr>
          <w:rFonts w:ascii="Times New Roman" w:hAnsi="Times New Roman" w:eastAsia="仿宋_GB2312" w:cs="Times New Roman"/>
          <w:kern w:val="0"/>
          <w:sz w:val="32"/>
          <w:szCs w:val="32"/>
          <w:highlight w:val="none"/>
        </w:rPr>
        <w:t xml:space="preserve"> 万元，占社会保险基金预算支出总额的</w:t>
      </w:r>
      <w:r>
        <w:rPr>
          <w:rFonts w:hint="eastAsia" w:ascii="Times New Roman" w:hAnsi="Times New Roman" w:eastAsia="仿宋_GB2312" w:cs="Times New Roman"/>
          <w:kern w:val="0"/>
          <w:sz w:val="32"/>
          <w:szCs w:val="32"/>
          <w:highlight w:val="none"/>
          <w:lang w:val="en-US" w:eastAsia="zh-CN"/>
        </w:rPr>
        <w:t>0</w:t>
      </w:r>
      <w:r>
        <w:rPr>
          <w:rFonts w:ascii="Times New Roman" w:hAnsi="Times New Roman" w:eastAsia="仿宋_GB2312" w:cs="Times New Roman"/>
          <w:kern w:val="0"/>
          <w:sz w:val="32"/>
          <w:szCs w:val="32"/>
          <w:highlight w:val="none"/>
        </w:rPr>
        <w:t>%。</w:t>
      </w:r>
    </w:p>
    <w:p>
      <w:pPr>
        <w:overflowPunct w:val="0"/>
        <w:spacing w:line="600" w:lineRule="exact"/>
        <w:ind w:firstLine="640" w:firstLineChars="200"/>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highlight w:val="none"/>
          <w:lang w:val="en-US" w:eastAsia="zh-CN"/>
        </w:rPr>
        <w:t>2.</w:t>
      </w:r>
      <w:r>
        <w:rPr>
          <w:rFonts w:ascii="Times New Roman" w:hAnsi="Times New Roman" w:eastAsia="仿宋_GB2312" w:cs="Times New Roman"/>
          <w:b/>
          <w:bCs/>
          <w:kern w:val="0"/>
          <w:sz w:val="32"/>
          <w:szCs w:val="32"/>
        </w:rPr>
        <w:t>部门评价开展情况。</w:t>
      </w:r>
      <w:r>
        <w:rPr>
          <w:rFonts w:ascii="Times New Roman" w:hAnsi="Times New Roman" w:eastAsia="仿宋_GB2312" w:cs="Times New Roman"/>
          <w:kern w:val="0"/>
          <w:sz w:val="32"/>
          <w:szCs w:val="32"/>
        </w:rPr>
        <w:t>组织对所属单位2024年度“</w:t>
      </w:r>
      <w:r>
        <w:rPr>
          <w:rFonts w:hint="eastAsia" w:ascii="Times New Roman" w:hAnsi="Times New Roman" w:eastAsia="仿宋_GB2312" w:cs="Times New Roman"/>
          <w:kern w:val="0"/>
          <w:sz w:val="32"/>
          <w:szCs w:val="32"/>
          <w:lang w:eastAsia="zh-CN"/>
        </w:rPr>
        <w:t>新型大数据中心</w:t>
      </w:r>
      <w:r>
        <w:rPr>
          <w:rFonts w:ascii="Times New Roman" w:hAnsi="Times New Roman" w:eastAsia="仿宋_GB2312" w:cs="Times New Roman"/>
          <w:kern w:val="0"/>
          <w:sz w:val="32"/>
          <w:szCs w:val="32"/>
        </w:rPr>
        <w:t>”“</w:t>
      </w:r>
      <w:r>
        <w:rPr>
          <w:rFonts w:hint="eastAsia" w:ascii="Times New Roman" w:hAnsi="Times New Roman" w:eastAsia="仿宋_GB2312" w:cs="Times New Roman"/>
          <w:sz w:val="32"/>
          <w:szCs w:val="32"/>
          <w:lang w:eastAsia="zh-CN"/>
        </w:rPr>
        <w:t>一网统管</w:t>
      </w:r>
      <w:r>
        <w:rPr>
          <w:rFonts w:ascii="Times New Roman" w:hAnsi="Times New Roman" w:eastAsia="仿宋_GB2312" w:cs="Times New Roman"/>
          <w:kern w:val="0"/>
          <w:sz w:val="32"/>
          <w:szCs w:val="32"/>
        </w:rPr>
        <w:t>”</w:t>
      </w:r>
      <w:r>
        <w:rPr>
          <w:rFonts w:hint="eastAsia" w:ascii="Times New Roman" w:hAnsi="Times New Roman" w:eastAsia="仿宋_GB2312" w:cs="Times New Roman"/>
          <w:kern w:val="0"/>
          <w:sz w:val="32"/>
          <w:szCs w:val="32"/>
          <w:lang w:eastAsia="zh-CN"/>
        </w:rPr>
        <w:t>“一网通办”</w:t>
      </w:r>
      <w:r>
        <w:rPr>
          <w:rFonts w:ascii="Times New Roman" w:hAnsi="Times New Roman" w:eastAsia="仿宋_GB2312" w:cs="Times New Roman"/>
          <w:kern w:val="0"/>
          <w:sz w:val="32"/>
          <w:szCs w:val="32"/>
        </w:rPr>
        <w:t>等</w:t>
      </w:r>
      <w:r>
        <w:rPr>
          <w:rFonts w:hint="eastAsia" w:ascii="Times New Roman" w:hAnsi="Times New Roman" w:eastAsia="仿宋_GB2312" w:cs="Times New Roman"/>
          <w:sz w:val="32"/>
          <w:szCs w:val="32"/>
          <w:lang w:val="en-US" w:eastAsia="zh-CN"/>
        </w:rPr>
        <w:t>22</w:t>
      </w:r>
      <w:r>
        <w:rPr>
          <w:rFonts w:ascii="Times New Roman" w:hAnsi="Times New Roman" w:eastAsia="仿宋_GB2312" w:cs="Times New Roman"/>
          <w:kern w:val="0"/>
          <w:sz w:val="32"/>
          <w:szCs w:val="32"/>
        </w:rPr>
        <w:t>个项目开展了部门评价，涉及一般公共预算支出</w:t>
      </w:r>
      <w:r>
        <w:rPr>
          <w:rFonts w:hint="eastAsia" w:ascii="Times New Roman" w:hAnsi="Times New Roman" w:eastAsia="仿宋_GB2312" w:cs="Times New Roman"/>
          <w:sz w:val="32"/>
          <w:szCs w:val="32"/>
          <w:lang w:val="en-US" w:eastAsia="zh-CN"/>
        </w:rPr>
        <w:t>2284.93</w:t>
      </w:r>
      <w:r>
        <w:rPr>
          <w:rFonts w:ascii="Times New Roman" w:hAnsi="Times New Roman" w:eastAsia="仿宋_GB2312" w:cs="Times New Roman"/>
          <w:kern w:val="0"/>
          <w:sz w:val="32"/>
          <w:szCs w:val="32"/>
        </w:rPr>
        <w:t>万元，政府性基金预算支出</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kern w:val="0"/>
          <w:sz w:val="32"/>
          <w:szCs w:val="32"/>
        </w:rPr>
        <w:t>万元，国有资本经营预算支出</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kern w:val="0"/>
          <w:sz w:val="32"/>
          <w:szCs w:val="32"/>
        </w:rPr>
        <w:t>万元，社会保险基金预算支出</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kern w:val="0"/>
          <w:sz w:val="32"/>
          <w:szCs w:val="32"/>
        </w:rPr>
        <w:t>万元。</w:t>
      </w:r>
    </w:p>
    <w:p>
      <w:pPr>
        <w:overflowPunct w:val="0"/>
        <w:spacing w:line="600" w:lineRule="exact"/>
        <w:ind w:firstLine="640" w:firstLineChars="200"/>
        <w:rPr>
          <w:rFonts w:hint="eastAsia" w:ascii="Times New Roman" w:hAnsi="Times New Roman" w:eastAsia="仿宋_GB2312" w:cs="Times New Roman"/>
          <w:color w:val="auto"/>
          <w:kern w:val="0"/>
          <w:sz w:val="32"/>
          <w:szCs w:val="32"/>
          <w:lang w:val="en-US" w:eastAsia="zh-CN"/>
        </w:rPr>
      </w:pPr>
      <w:r>
        <w:rPr>
          <w:rFonts w:hint="eastAsia" w:ascii="Times New Roman" w:hAnsi="Times New Roman" w:eastAsia="仿宋_GB2312" w:cs="Times New Roman"/>
          <w:kern w:val="0"/>
          <w:sz w:val="32"/>
          <w:szCs w:val="32"/>
          <w:lang w:val="en-US" w:eastAsia="zh-CN"/>
        </w:rPr>
        <w:t>3.</w:t>
      </w:r>
      <w:r>
        <w:rPr>
          <w:rFonts w:ascii="Times New Roman" w:hAnsi="Times New Roman" w:eastAsia="仿宋_GB2312" w:cs="Times New Roman"/>
          <w:b/>
          <w:bCs/>
          <w:kern w:val="0"/>
          <w:sz w:val="32"/>
          <w:szCs w:val="32"/>
        </w:rPr>
        <w:t>事前绩效评估开展情况。</w:t>
      </w:r>
      <w:r>
        <w:rPr>
          <w:rFonts w:hint="eastAsia" w:ascii="Times New Roman" w:hAnsi="Times New Roman" w:eastAsia="仿宋_GB2312" w:cs="Times New Roman"/>
          <w:color w:val="auto"/>
          <w:kern w:val="0"/>
          <w:sz w:val="32"/>
          <w:szCs w:val="32"/>
          <w:lang w:val="en-US" w:eastAsia="zh-CN"/>
        </w:rPr>
        <w:t>本单位及所属单位本年度未新增重大政策和重大项目，所以无事前绩效评估开展情况。</w:t>
      </w:r>
    </w:p>
    <w:p>
      <w:pPr>
        <w:overflowPunct w:val="0"/>
        <w:spacing w:line="600" w:lineRule="exact"/>
        <w:ind w:firstLine="640"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（二）绩效评价结果</w:t>
      </w:r>
    </w:p>
    <w:p>
      <w:pPr>
        <w:spacing w:line="620" w:lineRule="exact"/>
        <w:ind w:firstLine="640" w:firstLineChars="200"/>
        <w:rPr>
          <w:rFonts w:hint="eastAsia" w:ascii="Times New Roman" w:hAnsi="Times New Roman" w:eastAsia="仿宋_GB2312" w:cs="Times New Roman"/>
          <w:kern w:val="0"/>
          <w:sz w:val="32"/>
          <w:szCs w:val="32"/>
          <w:lang w:eastAsia="zh-CN"/>
        </w:rPr>
      </w:pPr>
      <w:r>
        <w:rPr>
          <w:rFonts w:hint="eastAsia" w:ascii="Times New Roman" w:hAnsi="Times New Roman" w:eastAsia="仿宋_GB2312" w:cs="Times New Roman"/>
          <w:kern w:val="0"/>
          <w:sz w:val="32"/>
          <w:szCs w:val="32"/>
          <w:lang w:val="en-US" w:eastAsia="zh-CN"/>
        </w:rPr>
        <w:t>1.</w:t>
      </w:r>
      <w:r>
        <w:rPr>
          <w:rFonts w:ascii="Times New Roman" w:hAnsi="Times New Roman" w:eastAsia="仿宋_GB2312" w:cs="Times New Roman"/>
          <w:b/>
          <w:bCs/>
          <w:kern w:val="0"/>
          <w:sz w:val="32"/>
          <w:szCs w:val="32"/>
        </w:rPr>
        <w:t>绩效自评结果。</w:t>
      </w:r>
      <w:r>
        <w:rPr>
          <w:rFonts w:ascii="Times New Roman" w:hAnsi="Times New Roman" w:eastAsia="仿宋_GB2312" w:cs="Times New Roman"/>
          <w:kern w:val="0"/>
          <w:sz w:val="32"/>
          <w:szCs w:val="32"/>
        </w:rPr>
        <w:t>2024年度本部门（单位）整体支出</w:t>
      </w:r>
      <w:r>
        <w:rPr>
          <w:rFonts w:ascii="Times New Roman" w:hAnsi="Times New Roman" w:eastAsia="仿宋_GB2312" w:cs="Times New Roman"/>
          <w:sz w:val="32"/>
          <w:szCs w:val="32"/>
        </w:rPr>
        <w:t>全年预算数</w:t>
      </w:r>
      <w:r>
        <w:rPr>
          <w:rFonts w:hint="eastAsia" w:ascii="Times New Roman" w:hAnsi="Times New Roman" w:eastAsia="仿宋_GB2312" w:cs="Times New Roman"/>
          <w:sz w:val="32"/>
          <w:szCs w:val="32"/>
          <w:lang w:val="en-US" w:eastAsia="zh-CN"/>
        </w:rPr>
        <w:t>3347.84</w:t>
      </w:r>
      <w:r>
        <w:rPr>
          <w:rFonts w:ascii="Times New Roman" w:hAnsi="Times New Roman" w:eastAsia="仿宋_GB2312" w:cs="Times New Roman"/>
          <w:sz w:val="32"/>
          <w:szCs w:val="32"/>
        </w:rPr>
        <w:t>万元，执行数</w:t>
      </w:r>
      <w:r>
        <w:rPr>
          <w:rFonts w:hint="eastAsia" w:ascii="Times New Roman" w:hAnsi="Times New Roman" w:eastAsia="仿宋_GB2312" w:cs="Times New Roman"/>
          <w:sz w:val="32"/>
          <w:szCs w:val="32"/>
          <w:lang w:val="en-US" w:eastAsia="zh-CN"/>
        </w:rPr>
        <w:t>2567.15</w:t>
      </w:r>
      <w:r>
        <w:rPr>
          <w:rFonts w:ascii="Times New Roman" w:hAnsi="Times New Roman" w:eastAsia="仿宋_GB2312" w:cs="Times New Roman"/>
          <w:sz w:val="32"/>
          <w:szCs w:val="32"/>
        </w:rPr>
        <w:t>万元，完成预算的</w:t>
      </w:r>
      <w:r>
        <w:rPr>
          <w:rFonts w:hint="eastAsia" w:ascii="Times New Roman" w:hAnsi="Times New Roman" w:eastAsia="仿宋_GB2312" w:cs="Times New Roman"/>
          <w:sz w:val="32"/>
          <w:szCs w:val="32"/>
          <w:lang w:val="en-US" w:eastAsia="zh-CN"/>
        </w:rPr>
        <w:t>76.68</w:t>
      </w:r>
      <w:r>
        <w:rPr>
          <w:rFonts w:ascii="Times New Roman" w:hAnsi="Times New Roman" w:eastAsia="仿宋_GB2312" w:cs="Times New Roman"/>
          <w:sz w:val="32"/>
          <w:szCs w:val="32"/>
        </w:rPr>
        <w:t>%</w:t>
      </w:r>
      <w:r>
        <w:rPr>
          <w:rFonts w:ascii="Times New Roman" w:hAnsi="Times New Roman" w:eastAsia="仿宋_GB2312" w:cs="Times New Roman"/>
          <w:kern w:val="0"/>
          <w:sz w:val="32"/>
          <w:szCs w:val="32"/>
        </w:rPr>
        <w:t>，绩效自评得分</w:t>
      </w:r>
      <w:r>
        <w:rPr>
          <w:rFonts w:hint="eastAsia" w:ascii="Times New Roman" w:hAnsi="Times New Roman" w:eastAsia="仿宋_GB2312" w:cs="Times New Roman"/>
          <w:sz w:val="32"/>
          <w:szCs w:val="32"/>
          <w:lang w:val="en-US" w:eastAsia="zh-CN"/>
        </w:rPr>
        <w:t>97.64</w:t>
      </w:r>
      <w:r>
        <w:rPr>
          <w:rFonts w:ascii="Times New Roman" w:hAnsi="Times New Roman" w:eastAsia="仿宋_GB2312" w:cs="Times New Roman"/>
          <w:sz w:val="32"/>
          <w:szCs w:val="32"/>
        </w:rPr>
        <w:t>分</w:t>
      </w:r>
      <w:r>
        <w:rPr>
          <w:rFonts w:ascii="Times New Roman" w:hAnsi="Times New Roman" w:eastAsia="仿宋_GB2312" w:cs="Times New Roman"/>
          <w:kern w:val="0"/>
          <w:sz w:val="32"/>
          <w:szCs w:val="32"/>
        </w:rPr>
        <w:t>，评价等级为</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优秀</w:t>
      </w:r>
      <w:r>
        <w:rPr>
          <w:rFonts w:ascii="Times New Roman" w:hAnsi="Times New Roman" w:eastAsia="仿宋_GB2312" w:cs="Times New Roman"/>
          <w:sz w:val="32"/>
          <w:szCs w:val="32"/>
        </w:rPr>
        <w:t>”。绩效目标完成情况：一是</w:t>
      </w:r>
      <w:r>
        <w:rPr>
          <w:rFonts w:hint="eastAsia" w:ascii="仿宋_GB2312" w:eastAsia="仿宋_GB2312" w:cs="仿宋"/>
          <w:b/>
          <w:bCs/>
          <w:kern w:val="2"/>
          <w:sz w:val="32"/>
          <w:szCs w:val="32"/>
        </w:rPr>
        <w:t>数据归集量大幅增长。</w:t>
      </w:r>
      <w:r>
        <w:rPr>
          <w:rFonts w:hint="eastAsia" w:ascii="Times New Roman" w:hAnsi="Times New Roman" w:eastAsia="仿宋_GB2312" w:cs="仿宋_GB2312"/>
          <w:sz w:val="32"/>
          <w:szCs w:val="32"/>
        </w:rPr>
        <w:t>自5月份机构成立以来，新增汇聚数据总量32.73亿条，新增编制目录2563个，新增配置接口服务227个。截至目前，我市共归集政务数据总量73.61亿条，发布资源目录10360个，配置接口服务598个，完成市本级43个部门的目录全量编制工作</w:t>
      </w:r>
      <w:r>
        <w:rPr>
          <w:rFonts w:hint="eastAsia" w:ascii="Times New Roman" w:hAnsi="Times New Roman" w:eastAsia="仿宋_GB2312" w:cs="仿宋_GB2312"/>
          <w:sz w:val="32"/>
          <w:szCs w:val="32"/>
          <w:lang w:eastAsia="zh-CN"/>
        </w:rPr>
        <w:t>。</w:t>
      </w:r>
      <w:r>
        <w:rPr>
          <w:rFonts w:ascii="Times New Roman" w:hAnsi="Times New Roman" w:eastAsia="仿宋_GB2312" w:cs="Times New Roman"/>
          <w:sz w:val="32"/>
          <w:szCs w:val="32"/>
        </w:rPr>
        <w:t>二是</w:t>
      </w:r>
      <w:r>
        <w:rPr>
          <w:rFonts w:hint="eastAsia" w:ascii="仿宋_GB2312" w:eastAsia="仿宋_GB2312" w:cs="仿宋"/>
          <w:b/>
          <w:bCs/>
          <w:kern w:val="2"/>
          <w:sz w:val="32"/>
          <w:szCs w:val="32"/>
        </w:rPr>
        <w:t>数据质量明显提升。</w:t>
      </w:r>
      <w:r>
        <w:rPr>
          <w:rFonts w:hint="eastAsia" w:ascii="Times New Roman" w:hAnsi="Times New Roman" w:eastAsia="仿宋_GB2312" w:cs="仿宋_GB2312"/>
          <w:sz w:val="32"/>
          <w:szCs w:val="32"/>
        </w:rPr>
        <w:t>累计制定1823个数据治理任务，已初步建成人口库、法人库、电子证照库、信用信息库五大专题库和宏观经济库、金融库、一网通办、公共资源纪委专责四大主题库，汇聚数据2983.06万条。</w:t>
      </w:r>
      <w:r>
        <w:rPr>
          <w:rFonts w:hint="eastAsia" w:ascii="仿宋_GB2312" w:eastAsia="仿宋_GB2312" w:cs="仿宋"/>
          <w:b/>
          <w:bCs/>
          <w:kern w:val="2"/>
          <w:sz w:val="32"/>
          <w:szCs w:val="32"/>
        </w:rPr>
        <w:t>三是数据赋能成效突出。</w:t>
      </w:r>
      <w:r>
        <w:rPr>
          <w:rFonts w:hint="eastAsia" w:ascii="Times New Roman" w:hAnsi="Times New Roman" w:eastAsia="仿宋_GB2312" w:cs="仿宋_GB2312"/>
          <w:sz w:val="32"/>
          <w:szCs w:val="32"/>
        </w:rPr>
        <w:t>为44类应用提供多维度的数据资源共享、治理和建模分析服务共317次，共享数据资源2018个，交换数据量50亿余条次，封装接口服务207个，接口调用1440.92万次。</w:t>
      </w:r>
      <w:r>
        <w:rPr>
          <w:rFonts w:hint="eastAsia" w:ascii="Times New Roman" w:hAnsi="Times New Roman" w:eastAsia="仿宋_GB2312" w:cs="仿宋_GB2312"/>
          <w:b/>
          <w:bCs/>
          <w:sz w:val="32"/>
          <w:szCs w:val="32"/>
        </w:rPr>
        <w:t>四是数据高效赋能应用。</w:t>
      </w:r>
      <w:r>
        <w:rPr>
          <w:rFonts w:hint="eastAsia" w:ascii="Times New Roman" w:hAnsi="Times New Roman" w:eastAsia="仿宋_GB2312" w:cs="仿宋_GB2312"/>
          <w:color w:val="000000"/>
          <w:sz w:val="32"/>
          <w:szCs w:val="32"/>
          <w:shd w:val="clear" w:color="auto" w:fill="FFFFFF"/>
        </w:rPr>
        <w:t>通过政务数据共享支撑，为一批特色应用赋能增效。</w:t>
      </w:r>
      <w:r>
        <w:rPr>
          <w:rFonts w:hint="eastAsia" w:ascii="Times New Roman" w:hAnsi="Times New Roman" w:eastAsia="仿宋_GB2312" w:cs="仿宋_GB2312"/>
          <w:b/>
          <w:bCs/>
          <w:sz w:val="32"/>
          <w:szCs w:val="32"/>
        </w:rPr>
        <w:t>经济发展类，</w:t>
      </w:r>
      <w:r>
        <w:rPr>
          <w:rFonts w:hint="eastAsia" w:ascii="Times New Roman" w:hAnsi="Times New Roman" w:eastAsia="仿宋_GB2312" w:cs="仿宋_GB2312"/>
          <w:color w:val="000000"/>
          <w:sz w:val="32"/>
          <w:szCs w:val="32"/>
          <w:shd w:val="clear" w:color="auto" w:fill="FFFFFF"/>
        </w:rPr>
        <w:t>赋能岳阳“金融港”平台累计授信金额57.86亿元，累计放款金额51.37亿元。</w:t>
      </w:r>
      <w:r>
        <w:rPr>
          <w:rFonts w:hint="eastAsia" w:ascii="Times New Roman" w:hAnsi="Times New Roman" w:eastAsia="仿宋_GB2312" w:cs="仿宋_GB2312"/>
          <w:b/>
          <w:bCs/>
          <w:kern w:val="2"/>
          <w:sz w:val="32"/>
          <w:szCs w:val="32"/>
        </w:rPr>
        <w:t>协同治理类。</w:t>
      </w:r>
      <w:r>
        <w:rPr>
          <w:rFonts w:hint="eastAsia" w:ascii="Times New Roman" w:hAnsi="Times New Roman" w:eastAsia="仿宋_GB2312" w:cs="仿宋_GB2312"/>
          <w:color w:val="000000"/>
          <w:sz w:val="32"/>
          <w:szCs w:val="32"/>
          <w:shd w:val="clear" w:color="auto" w:fill="FFFFFF"/>
        </w:rPr>
        <w:t>通过涉税涉费数据分析，赋能市财税平台向税务部门移交线索2691条，累计查补入库税款3.1亿余元。</w:t>
      </w:r>
      <w:r>
        <w:rPr>
          <w:rFonts w:hint="eastAsia" w:ascii="Times New Roman" w:hAnsi="Times New Roman" w:eastAsia="仿宋_GB2312" w:cs="仿宋_GB2312"/>
          <w:b/>
          <w:bCs/>
          <w:kern w:val="2"/>
          <w:sz w:val="32"/>
          <w:szCs w:val="32"/>
        </w:rPr>
        <w:t>政务服务类。</w:t>
      </w:r>
      <w:r>
        <w:rPr>
          <w:rFonts w:hint="eastAsia" w:ascii="Times New Roman" w:hAnsi="Times New Roman" w:eastAsia="仿宋_GB2312" w:cs="仿宋_GB2312"/>
          <w:kern w:val="2"/>
          <w:sz w:val="32"/>
          <w:szCs w:val="32"/>
        </w:rPr>
        <w:t>支撑人社“一卡通”逾50万户睡眠账户清理，将参保人员相关数据准确率提升40%。</w:t>
      </w:r>
      <w:r>
        <w:rPr>
          <w:rFonts w:ascii="Times New Roman" w:hAnsi="Times New Roman" w:eastAsia="仿宋_GB2312" w:cs="Times New Roman"/>
          <w:sz w:val="32"/>
          <w:szCs w:val="32"/>
        </w:rPr>
        <w:t>发现的主要问题及原因：一是</w:t>
      </w:r>
      <w:r>
        <w:rPr>
          <w:rFonts w:hint="eastAsia" w:ascii="Times New Roman" w:hAnsi="Times New Roman" w:eastAsia="仿宋_GB2312"/>
          <w:sz w:val="32"/>
          <w:szCs w:val="32"/>
        </w:rPr>
        <w:t>绩效管理工作意识有待提高</w:t>
      </w:r>
      <w:r>
        <w:rPr>
          <w:rFonts w:ascii="Times New Roman" w:hAnsi="Times New Roman" w:eastAsia="仿宋_GB2312" w:cs="Times New Roman"/>
          <w:sz w:val="32"/>
          <w:szCs w:val="32"/>
        </w:rPr>
        <w:t>；二是</w:t>
      </w:r>
      <w:r>
        <w:rPr>
          <w:rFonts w:ascii="Times New Roman" w:hAnsi="Times New Roman" w:eastAsia="仿宋_GB2312"/>
          <w:sz w:val="32"/>
          <w:szCs w:val="32"/>
        </w:rPr>
        <w:t>绩效评价指标体系还不完善，评价指标设定的科学性有待加强</w:t>
      </w:r>
      <w:r>
        <w:rPr>
          <w:rFonts w:ascii="Times New Roman" w:hAnsi="Times New Roman" w:eastAsia="仿宋_GB2312" w:cs="Times New Roman"/>
          <w:sz w:val="32"/>
          <w:szCs w:val="32"/>
        </w:rPr>
        <w:t>。下一步改进措施：一是</w:t>
      </w:r>
      <w:r>
        <w:rPr>
          <w:rFonts w:ascii="Times New Roman" w:hAnsi="Times New Roman" w:eastAsia="仿宋_GB2312"/>
          <w:color w:val="000000"/>
          <w:sz w:val="32"/>
          <w:szCs w:val="32"/>
        </w:rPr>
        <w:t>加快完善相应制度建设和账务处理能力，进一步提升部门效率，加强政策学习，提高思想认识，更大力度严格执行财经纪律</w:t>
      </w:r>
      <w:r>
        <w:rPr>
          <w:rFonts w:ascii="Times New Roman" w:hAnsi="Times New Roman" w:eastAsia="仿宋_GB2312" w:cs="Times New Roman"/>
          <w:sz w:val="32"/>
          <w:szCs w:val="32"/>
        </w:rPr>
        <w:t>；二是</w:t>
      </w:r>
      <w:r>
        <w:rPr>
          <w:rFonts w:hint="eastAsia" w:ascii="Times New Roman" w:hAnsi="Times New Roman" w:eastAsia="仿宋_GB2312"/>
          <w:color w:val="000000"/>
          <w:sz w:val="32"/>
          <w:szCs w:val="32"/>
        </w:rPr>
        <w:t>单位的各项工作能够与绩效考核的制度紧密结合起来，充分凸显出绩效考核的针对性，促使绩效管理的细节化和可操作化真正落到实处，从而真正达到行政事业单位绩效考核工作的整体与部分相协调</w:t>
      </w:r>
      <w:r>
        <w:rPr>
          <w:rFonts w:ascii="Times New Roman" w:hAnsi="Times New Roman" w:eastAsia="仿宋_GB2312" w:cs="Times New Roman"/>
          <w:sz w:val="32"/>
          <w:szCs w:val="32"/>
        </w:rPr>
        <w:t>。</w:t>
      </w:r>
    </w:p>
    <w:p>
      <w:pPr>
        <w:overflowPunct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kern w:val="0"/>
          <w:sz w:val="32"/>
          <w:szCs w:val="32"/>
          <w:lang w:val="en-US" w:eastAsia="zh-CN"/>
        </w:rPr>
        <w:t>2.</w:t>
      </w:r>
      <w:r>
        <w:rPr>
          <w:rFonts w:ascii="Times New Roman" w:hAnsi="Times New Roman" w:eastAsia="仿宋_GB2312" w:cs="Times New Roman"/>
          <w:b/>
          <w:bCs/>
          <w:kern w:val="0"/>
          <w:sz w:val="32"/>
          <w:szCs w:val="32"/>
        </w:rPr>
        <w:t>部门评价结果。</w:t>
      </w:r>
      <w:r>
        <w:rPr>
          <w:rFonts w:hint="eastAsia" w:ascii="Times New Roman" w:hAnsi="Times New Roman" w:eastAsia="仿宋_GB2312" w:cs="Times New Roman"/>
          <w:b/>
          <w:bCs/>
          <w:kern w:val="0"/>
          <w:sz w:val="32"/>
          <w:szCs w:val="32"/>
          <w:lang w:eastAsia="zh-CN"/>
        </w:rPr>
        <w:t>“</w:t>
      </w:r>
      <w:r>
        <w:rPr>
          <w:rFonts w:hint="eastAsia" w:ascii="Times New Roman" w:hAnsi="Times New Roman" w:eastAsia="仿宋_GB2312" w:cs="Times New Roman"/>
          <w:sz w:val="32"/>
          <w:szCs w:val="32"/>
          <w:lang w:eastAsia="zh-CN"/>
        </w:rPr>
        <w:t>一网通办</w:t>
      </w:r>
      <w:r>
        <w:rPr>
          <w:rFonts w:hint="eastAsia" w:ascii="Times New Roman" w:hAnsi="Times New Roman" w:eastAsia="仿宋_GB2312" w:cs="Times New Roman"/>
          <w:b/>
          <w:bCs/>
          <w:kern w:val="0"/>
          <w:sz w:val="32"/>
          <w:szCs w:val="32"/>
          <w:lang w:eastAsia="zh-CN"/>
        </w:rPr>
        <w:t>”</w:t>
      </w:r>
      <w:r>
        <w:rPr>
          <w:rFonts w:hint="eastAsia" w:ascii="Times New Roman" w:hAnsi="Times New Roman" w:eastAsia="仿宋_GB2312" w:cs="Times New Roman"/>
          <w:sz w:val="32"/>
          <w:szCs w:val="32"/>
          <w:lang w:eastAsia="zh-CN"/>
        </w:rPr>
        <w:t>平台</w:t>
      </w:r>
      <w:r>
        <w:rPr>
          <w:rFonts w:ascii="Times New Roman" w:hAnsi="Times New Roman" w:eastAsia="仿宋_GB2312" w:cs="Times New Roman"/>
          <w:sz w:val="32"/>
          <w:szCs w:val="32"/>
        </w:rPr>
        <w:t>项目全年预算数</w:t>
      </w:r>
      <w:r>
        <w:rPr>
          <w:rFonts w:hint="eastAsia" w:ascii="Times New Roman" w:hAnsi="Times New Roman" w:eastAsia="仿宋_GB2312" w:cs="Times New Roman"/>
          <w:sz w:val="32"/>
          <w:szCs w:val="32"/>
          <w:lang w:val="en-US" w:eastAsia="zh-CN"/>
        </w:rPr>
        <w:t>150</w:t>
      </w:r>
      <w:r>
        <w:rPr>
          <w:rFonts w:ascii="Times New Roman" w:hAnsi="Times New Roman" w:eastAsia="仿宋_GB2312" w:cs="Times New Roman"/>
          <w:sz w:val="32"/>
          <w:szCs w:val="32"/>
        </w:rPr>
        <w:t>万元，执行数</w:t>
      </w:r>
      <w:r>
        <w:rPr>
          <w:rFonts w:hint="eastAsia" w:ascii="Times New Roman" w:hAnsi="Times New Roman" w:eastAsia="仿宋_GB2312" w:cs="Times New Roman"/>
          <w:sz w:val="32"/>
          <w:szCs w:val="32"/>
          <w:lang w:val="en-US" w:eastAsia="zh-CN"/>
        </w:rPr>
        <w:t>150</w:t>
      </w:r>
      <w:r>
        <w:rPr>
          <w:rFonts w:ascii="Times New Roman" w:hAnsi="Times New Roman" w:eastAsia="仿宋_GB2312" w:cs="Times New Roman"/>
          <w:sz w:val="32"/>
          <w:szCs w:val="32"/>
        </w:rPr>
        <w:t>万元，完成预算的</w:t>
      </w:r>
      <w:r>
        <w:rPr>
          <w:rFonts w:hint="eastAsia" w:ascii="Times New Roman" w:hAnsi="Times New Roman" w:eastAsia="仿宋_GB2312" w:cs="Times New Roman"/>
          <w:sz w:val="32"/>
          <w:szCs w:val="32"/>
          <w:lang w:val="en-US" w:eastAsia="zh-CN"/>
        </w:rPr>
        <w:t>100</w:t>
      </w:r>
      <w:r>
        <w:rPr>
          <w:rFonts w:ascii="Times New Roman" w:hAnsi="Times New Roman" w:eastAsia="仿宋_GB2312" w:cs="Times New Roman"/>
          <w:sz w:val="32"/>
          <w:szCs w:val="32"/>
        </w:rPr>
        <w:t>%</w:t>
      </w:r>
      <w:r>
        <w:rPr>
          <w:rFonts w:ascii="Times New Roman" w:hAnsi="Times New Roman" w:eastAsia="仿宋_GB2312" w:cs="Times New Roman"/>
          <w:kern w:val="0"/>
          <w:sz w:val="32"/>
          <w:szCs w:val="32"/>
        </w:rPr>
        <w:t>，</w:t>
      </w:r>
      <w:r>
        <w:rPr>
          <w:rFonts w:ascii="Times New Roman" w:hAnsi="Times New Roman" w:eastAsia="仿宋_GB2312" w:cs="Times New Roman"/>
          <w:sz w:val="32"/>
          <w:szCs w:val="32"/>
        </w:rPr>
        <w:t>部门评价得分</w:t>
      </w:r>
      <w:r>
        <w:rPr>
          <w:rFonts w:hint="eastAsia" w:ascii="Times New Roman" w:hAnsi="Times New Roman" w:eastAsia="仿宋_GB2312" w:cs="Times New Roman"/>
          <w:sz w:val="32"/>
          <w:szCs w:val="32"/>
          <w:lang w:val="en-US" w:eastAsia="zh-CN"/>
        </w:rPr>
        <w:t>100</w:t>
      </w:r>
      <w:r>
        <w:rPr>
          <w:rFonts w:ascii="Times New Roman" w:hAnsi="Times New Roman" w:eastAsia="仿宋_GB2312" w:cs="Times New Roman"/>
          <w:sz w:val="32"/>
          <w:szCs w:val="32"/>
        </w:rPr>
        <w:t>分，评价等级为“</w:t>
      </w:r>
      <w:r>
        <w:rPr>
          <w:rFonts w:hint="eastAsia" w:ascii="Times New Roman" w:hAnsi="Times New Roman" w:eastAsia="仿宋_GB2312" w:cs="Times New Roman"/>
          <w:sz w:val="32"/>
          <w:szCs w:val="32"/>
          <w:lang w:eastAsia="zh-CN"/>
        </w:rPr>
        <w:t>优秀</w:t>
      </w:r>
      <w:r>
        <w:rPr>
          <w:rFonts w:ascii="Times New Roman" w:hAnsi="Times New Roman" w:eastAsia="仿宋_GB2312" w:cs="Times New Roman"/>
          <w:sz w:val="32"/>
          <w:szCs w:val="32"/>
        </w:rPr>
        <w:t>”。</w:t>
      </w:r>
      <w:r>
        <w:rPr>
          <w:rFonts w:hint="eastAsia" w:ascii="Times New Roman" w:hAnsi="Times New Roman" w:eastAsia="仿宋_GB2312" w:cs="Times New Roman"/>
          <w:b/>
          <w:bCs/>
          <w:kern w:val="0"/>
          <w:sz w:val="32"/>
          <w:szCs w:val="32"/>
          <w:lang w:eastAsia="zh-CN"/>
        </w:rPr>
        <w:t>“</w:t>
      </w:r>
      <w:r>
        <w:rPr>
          <w:rFonts w:hint="eastAsia" w:ascii="Times New Roman" w:hAnsi="Times New Roman" w:eastAsia="仿宋_GB2312" w:cs="Times New Roman"/>
          <w:sz w:val="32"/>
          <w:szCs w:val="32"/>
          <w:lang w:eastAsia="zh-CN"/>
        </w:rPr>
        <w:t>一网统管</w:t>
      </w:r>
      <w:r>
        <w:rPr>
          <w:rFonts w:hint="eastAsia" w:ascii="Times New Roman" w:hAnsi="Times New Roman" w:eastAsia="仿宋_GB2312" w:cs="Times New Roman"/>
          <w:b/>
          <w:bCs/>
          <w:kern w:val="0"/>
          <w:sz w:val="32"/>
          <w:szCs w:val="32"/>
          <w:lang w:eastAsia="zh-CN"/>
        </w:rPr>
        <w:t>”</w:t>
      </w:r>
      <w:r>
        <w:rPr>
          <w:rFonts w:hint="eastAsia" w:ascii="Times New Roman" w:hAnsi="Times New Roman" w:eastAsia="仿宋_GB2312" w:cs="Times New Roman"/>
          <w:sz w:val="32"/>
          <w:szCs w:val="32"/>
          <w:lang w:eastAsia="zh-CN"/>
        </w:rPr>
        <w:t>平台</w:t>
      </w:r>
      <w:r>
        <w:rPr>
          <w:rFonts w:ascii="Times New Roman" w:hAnsi="Times New Roman" w:eastAsia="仿宋_GB2312" w:cs="Times New Roman"/>
          <w:sz w:val="32"/>
          <w:szCs w:val="32"/>
        </w:rPr>
        <w:t>项目全年预算数</w:t>
      </w:r>
      <w:r>
        <w:rPr>
          <w:rFonts w:hint="eastAsia" w:ascii="Times New Roman" w:hAnsi="Times New Roman" w:eastAsia="仿宋_GB2312" w:cs="Times New Roman"/>
          <w:sz w:val="32"/>
          <w:szCs w:val="32"/>
          <w:lang w:val="en-US" w:eastAsia="zh-CN"/>
        </w:rPr>
        <w:t>287.95</w:t>
      </w:r>
      <w:r>
        <w:rPr>
          <w:rFonts w:ascii="Times New Roman" w:hAnsi="Times New Roman" w:eastAsia="仿宋_GB2312" w:cs="Times New Roman"/>
          <w:sz w:val="32"/>
          <w:szCs w:val="32"/>
        </w:rPr>
        <w:t>万元，执行数</w:t>
      </w:r>
      <w:r>
        <w:rPr>
          <w:rFonts w:hint="eastAsia" w:ascii="Times New Roman" w:hAnsi="Times New Roman" w:eastAsia="仿宋_GB2312" w:cs="Times New Roman"/>
          <w:sz w:val="32"/>
          <w:szCs w:val="32"/>
          <w:lang w:val="en-US" w:eastAsia="zh-CN"/>
        </w:rPr>
        <w:t>287.95</w:t>
      </w:r>
      <w:r>
        <w:rPr>
          <w:rFonts w:ascii="Times New Roman" w:hAnsi="Times New Roman" w:eastAsia="仿宋_GB2312" w:cs="Times New Roman"/>
          <w:sz w:val="32"/>
          <w:szCs w:val="32"/>
        </w:rPr>
        <w:t>万元，完成预算的</w:t>
      </w:r>
      <w:r>
        <w:rPr>
          <w:rFonts w:hint="eastAsia" w:ascii="Times New Roman" w:hAnsi="Times New Roman" w:eastAsia="仿宋_GB2312" w:cs="Times New Roman"/>
          <w:sz w:val="32"/>
          <w:szCs w:val="32"/>
          <w:lang w:val="en-US" w:eastAsia="zh-CN"/>
        </w:rPr>
        <w:t>100</w:t>
      </w:r>
      <w:r>
        <w:rPr>
          <w:rFonts w:ascii="Times New Roman" w:hAnsi="Times New Roman" w:eastAsia="仿宋_GB2312" w:cs="Times New Roman"/>
          <w:sz w:val="32"/>
          <w:szCs w:val="32"/>
        </w:rPr>
        <w:t>%</w:t>
      </w:r>
      <w:r>
        <w:rPr>
          <w:rFonts w:ascii="Times New Roman" w:hAnsi="Times New Roman" w:eastAsia="仿宋_GB2312" w:cs="Times New Roman"/>
          <w:kern w:val="0"/>
          <w:sz w:val="32"/>
          <w:szCs w:val="32"/>
        </w:rPr>
        <w:t>，</w:t>
      </w:r>
      <w:r>
        <w:rPr>
          <w:rFonts w:ascii="Times New Roman" w:hAnsi="Times New Roman" w:eastAsia="仿宋_GB2312" w:cs="Times New Roman"/>
          <w:sz w:val="32"/>
          <w:szCs w:val="32"/>
        </w:rPr>
        <w:t>部门评价得分</w:t>
      </w:r>
      <w:r>
        <w:rPr>
          <w:rFonts w:hint="eastAsia" w:ascii="Times New Roman" w:hAnsi="Times New Roman" w:eastAsia="仿宋_GB2312" w:cs="Times New Roman"/>
          <w:sz w:val="32"/>
          <w:szCs w:val="32"/>
          <w:lang w:val="en-US" w:eastAsia="zh-CN"/>
        </w:rPr>
        <w:t>100</w:t>
      </w:r>
      <w:r>
        <w:rPr>
          <w:rFonts w:ascii="Times New Roman" w:hAnsi="Times New Roman" w:eastAsia="仿宋_GB2312" w:cs="Times New Roman"/>
          <w:sz w:val="32"/>
          <w:szCs w:val="32"/>
        </w:rPr>
        <w:t>分，评价等级为“</w:t>
      </w:r>
      <w:r>
        <w:rPr>
          <w:rFonts w:hint="eastAsia" w:ascii="Times New Roman" w:hAnsi="Times New Roman" w:eastAsia="仿宋_GB2312" w:cs="Times New Roman"/>
          <w:sz w:val="32"/>
          <w:szCs w:val="32"/>
          <w:lang w:eastAsia="zh-CN"/>
        </w:rPr>
        <w:t>优秀</w:t>
      </w:r>
      <w:r>
        <w:rPr>
          <w:rFonts w:ascii="Times New Roman" w:hAnsi="Times New Roman" w:eastAsia="仿宋_GB2312" w:cs="Times New Roman"/>
          <w:sz w:val="32"/>
          <w:szCs w:val="32"/>
        </w:rPr>
        <w:t>”。</w:t>
      </w:r>
      <w:r>
        <w:rPr>
          <w:rFonts w:hint="eastAsia" w:ascii="Times New Roman" w:hAnsi="Times New Roman" w:eastAsia="仿宋_GB2312" w:cs="Times New Roman"/>
          <w:b/>
          <w:bCs/>
          <w:kern w:val="0"/>
          <w:sz w:val="32"/>
          <w:szCs w:val="32"/>
          <w:lang w:eastAsia="zh-CN"/>
        </w:rPr>
        <w:t>“</w:t>
      </w:r>
      <w:r>
        <w:rPr>
          <w:rFonts w:hint="eastAsia" w:ascii="Times New Roman" w:hAnsi="Times New Roman" w:eastAsia="仿宋_GB2312" w:cs="Times New Roman"/>
          <w:sz w:val="32"/>
          <w:szCs w:val="32"/>
          <w:lang w:eastAsia="zh-CN"/>
        </w:rPr>
        <w:t>一码通</w:t>
      </w:r>
      <w:r>
        <w:rPr>
          <w:rFonts w:hint="eastAsia" w:ascii="Times New Roman" w:hAnsi="Times New Roman" w:eastAsia="仿宋_GB2312" w:cs="Times New Roman"/>
          <w:b/>
          <w:bCs/>
          <w:kern w:val="0"/>
          <w:sz w:val="32"/>
          <w:szCs w:val="32"/>
          <w:lang w:eastAsia="zh-CN"/>
        </w:rPr>
        <w:t>”</w:t>
      </w:r>
      <w:r>
        <w:rPr>
          <w:rFonts w:ascii="Times New Roman" w:hAnsi="Times New Roman" w:eastAsia="仿宋_GB2312" w:cs="Times New Roman"/>
          <w:sz w:val="32"/>
          <w:szCs w:val="32"/>
        </w:rPr>
        <w:t>项目全年预算数</w:t>
      </w:r>
      <w:r>
        <w:rPr>
          <w:rFonts w:hint="eastAsia" w:ascii="Times New Roman" w:hAnsi="Times New Roman" w:eastAsia="仿宋_GB2312" w:cs="Times New Roman"/>
          <w:sz w:val="32"/>
          <w:szCs w:val="32"/>
          <w:lang w:val="en-US" w:eastAsia="zh-CN"/>
        </w:rPr>
        <w:t>182</w:t>
      </w:r>
      <w:r>
        <w:rPr>
          <w:rFonts w:ascii="Times New Roman" w:hAnsi="Times New Roman" w:eastAsia="仿宋_GB2312" w:cs="Times New Roman"/>
          <w:sz w:val="32"/>
          <w:szCs w:val="32"/>
        </w:rPr>
        <w:t>万元，执行数</w:t>
      </w:r>
      <w:r>
        <w:rPr>
          <w:rFonts w:hint="eastAsia" w:ascii="Times New Roman" w:hAnsi="Times New Roman" w:eastAsia="仿宋_GB2312" w:cs="Times New Roman"/>
          <w:sz w:val="32"/>
          <w:szCs w:val="32"/>
          <w:lang w:val="en-US" w:eastAsia="zh-CN"/>
        </w:rPr>
        <w:t>182</w:t>
      </w:r>
      <w:r>
        <w:rPr>
          <w:rFonts w:ascii="Times New Roman" w:hAnsi="Times New Roman" w:eastAsia="仿宋_GB2312" w:cs="Times New Roman"/>
          <w:sz w:val="32"/>
          <w:szCs w:val="32"/>
        </w:rPr>
        <w:t>万元，完成预算的</w:t>
      </w:r>
      <w:r>
        <w:rPr>
          <w:rFonts w:hint="eastAsia" w:ascii="Times New Roman" w:hAnsi="Times New Roman" w:eastAsia="仿宋_GB2312" w:cs="Times New Roman"/>
          <w:sz w:val="32"/>
          <w:szCs w:val="32"/>
          <w:lang w:val="en-US" w:eastAsia="zh-CN"/>
        </w:rPr>
        <w:t>100</w:t>
      </w:r>
      <w:r>
        <w:rPr>
          <w:rFonts w:ascii="Times New Roman" w:hAnsi="Times New Roman" w:eastAsia="仿宋_GB2312" w:cs="Times New Roman"/>
          <w:sz w:val="32"/>
          <w:szCs w:val="32"/>
        </w:rPr>
        <w:t>%</w:t>
      </w:r>
      <w:r>
        <w:rPr>
          <w:rFonts w:ascii="Times New Roman" w:hAnsi="Times New Roman" w:eastAsia="仿宋_GB2312" w:cs="Times New Roman"/>
          <w:kern w:val="0"/>
          <w:sz w:val="32"/>
          <w:szCs w:val="32"/>
        </w:rPr>
        <w:t>，</w:t>
      </w:r>
      <w:r>
        <w:rPr>
          <w:rFonts w:ascii="Times New Roman" w:hAnsi="Times New Roman" w:eastAsia="仿宋_GB2312" w:cs="Times New Roman"/>
          <w:sz w:val="32"/>
          <w:szCs w:val="32"/>
        </w:rPr>
        <w:t>部门评价得分</w:t>
      </w:r>
      <w:r>
        <w:rPr>
          <w:rFonts w:hint="eastAsia" w:ascii="Times New Roman" w:hAnsi="Times New Roman" w:eastAsia="仿宋_GB2312" w:cs="Times New Roman"/>
          <w:sz w:val="32"/>
          <w:szCs w:val="32"/>
          <w:lang w:val="en-US" w:eastAsia="zh-CN"/>
        </w:rPr>
        <w:t>100</w:t>
      </w:r>
      <w:r>
        <w:rPr>
          <w:rFonts w:ascii="Times New Roman" w:hAnsi="Times New Roman" w:eastAsia="仿宋_GB2312" w:cs="Times New Roman"/>
          <w:sz w:val="32"/>
          <w:szCs w:val="32"/>
        </w:rPr>
        <w:t>分，评价等级为“</w:t>
      </w:r>
      <w:r>
        <w:rPr>
          <w:rFonts w:hint="eastAsia" w:ascii="Times New Roman" w:hAnsi="Times New Roman" w:eastAsia="仿宋_GB2312" w:cs="Times New Roman"/>
          <w:sz w:val="32"/>
          <w:szCs w:val="32"/>
          <w:lang w:eastAsia="zh-CN"/>
        </w:rPr>
        <w:t>优秀</w:t>
      </w:r>
      <w:r>
        <w:rPr>
          <w:rFonts w:ascii="Times New Roman" w:hAnsi="Times New Roman" w:eastAsia="仿宋_GB2312" w:cs="Times New Roman"/>
          <w:sz w:val="32"/>
          <w:szCs w:val="32"/>
        </w:rPr>
        <w:t>”。</w:t>
      </w:r>
    </w:p>
    <w:p>
      <w:pPr>
        <w:overflowPunct w:val="0"/>
        <w:spacing w:line="600" w:lineRule="exact"/>
        <w:ind w:firstLine="640" w:firstLineChars="200"/>
        <w:rPr>
          <w:rFonts w:hint="eastAsia" w:ascii="Times New Roman" w:hAnsi="Times New Roman" w:eastAsia="仿宋_GB2312"/>
          <w:color w:val="FF0000"/>
          <w:sz w:val="32"/>
          <w:szCs w:val="32"/>
        </w:rPr>
      </w:pPr>
      <w:r>
        <w:rPr>
          <w:rFonts w:hint="eastAsia" w:ascii="Times New Roman" w:hAnsi="Times New Roman" w:eastAsia="仿宋_GB2312" w:cs="Times New Roman"/>
          <w:kern w:val="0"/>
          <w:sz w:val="32"/>
          <w:szCs w:val="32"/>
          <w:lang w:val="en-US" w:eastAsia="zh-CN"/>
        </w:rPr>
        <w:t>3.</w:t>
      </w:r>
      <w:r>
        <w:rPr>
          <w:rFonts w:hint="eastAsia" w:ascii="Times New Roman" w:hAnsi="Times New Roman" w:eastAsia="仿宋_GB2312" w:cs="Times New Roman"/>
          <w:b/>
          <w:bCs/>
          <w:kern w:val="0"/>
          <w:sz w:val="32"/>
          <w:szCs w:val="32"/>
          <w:highlight w:val="none"/>
          <w:lang w:val="en-US" w:eastAsia="zh-CN"/>
        </w:rPr>
        <w:t>事</w:t>
      </w:r>
      <w:r>
        <w:rPr>
          <w:rFonts w:ascii="Times New Roman" w:hAnsi="Times New Roman" w:eastAsia="仿宋_GB2312" w:cs="Times New Roman"/>
          <w:b/>
          <w:bCs/>
          <w:kern w:val="0"/>
          <w:sz w:val="32"/>
          <w:szCs w:val="32"/>
          <w:highlight w:val="none"/>
        </w:rPr>
        <w:t>前绩效评估结果。</w:t>
      </w:r>
      <w:r>
        <w:rPr>
          <w:rFonts w:hint="eastAsia" w:ascii="Times New Roman" w:hAnsi="Times New Roman" w:eastAsia="仿宋_GB2312" w:cs="Times New Roman"/>
          <w:color w:val="auto"/>
          <w:kern w:val="0"/>
          <w:sz w:val="32"/>
          <w:szCs w:val="32"/>
          <w:lang w:val="en-US" w:eastAsia="zh-CN"/>
        </w:rPr>
        <w:t>本单位及所属单位本年度未开展事前绩效评估，所以无事前绩效评估结果。</w:t>
      </w:r>
    </w:p>
    <w:p>
      <w:pPr>
        <w:numPr>
          <w:ilvl w:val="0"/>
          <w:numId w:val="1"/>
        </w:numPr>
        <w:autoSpaceDE w:val="0"/>
        <w:autoSpaceDN w:val="0"/>
        <w:adjustRightInd w:val="0"/>
        <w:ind w:firstLine="640" w:firstLineChars="200"/>
        <w:jc w:val="left"/>
        <w:rPr>
          <w:rFonts w:ascii="Times New Roman" w:hAnsi="Times New Roman" w:eastAsia="楷体_GB2312" w:cs="Times New Roman"/>
          <w:b/>
          <w:bCs/>
          <w:color w:val="auto"/>
          <w:kern w:val="2"/>
          <w:sz w:val="32"/>
          <w:szCs w:val="32"/>
          <w:highlight w:val="none"/>
        </w:rPr>
      </w:pPr>
      <w:r>
        <w:rPr>
          <w:rFonts w:ascii="Times New Roman" w:hAnsi="Times New Roman" w:eastAsia="楷体_GB2312" w:cs="Times New Roman"/>
          <w:b/>
          <w:bCs/>
          <w:color w:val="auto"/>
          <w:kern w:val="2"/>
          <w:sz w:val="32"/>
          <w:szCs w:val="32"/>
          <w:highlight w:val="none"/>
        </w:rPr>
        <w:t>评价结果应用情况</w:t>
      </w:r>
    </w:p>
    <w:p>
      <w:pPr>
        <w:autoSpaceDE w:val="0"/>
        <w:autoSpaceDN w:val="0"/>
        <w:adjustRightInd w:val="0"/>
        <w:ind w:firstLine="640" w:firstLineChars="200"/>
        <w:jc w:val="left"/>
        <w:rPr>
          <w:rFonts w:hint="eastAsia" w:ascii="楷体" w:hAnsi="楷体" w:eastAsia="楷体" w:cs="楷体"/>
          <w:b/>
          <w:bCs/>
          <w:i w:val="0"/>
          <w:iCs w:val="0"/>
          <w:color w:val="FF0000"/>
          <w:kern w:val="0"/>
          <w:sz w:val="36"/>
          <w:szCs w:val="36"/>
          <w:lang w:val="en-US" w:eastAsia="zh-CN"/>
        </w:rPr>
      </w:pPr>
      <w:r>
        <w:rPr>
          <w:rFonts w:ascii="Times New Roman" w:hAnsi="Times New Roman" w:eastAsia="仿宋_GB2312"/>
          <w:color w:val="000000"/>
          <w:sz w:val="32"/>
          <w:szCs w:val="32"/>
        </w:rPr>
        <w:t>我单位20</w:t>
      </w:r>
      <w:r>
        <w:rPr>
          <w:rFonts w:hint="eastAsia" w:ascii="Times New Roman" w:hAnsi="Times New Roman" w:eastAsia="仿宋_GB2312"/>
          <w:color w:val="000000"/>
          <w:sz w:val="32"/>
          <w:szCs w:val="32"/>
        </w:rPr>
        <w:t>24</w:t>
      </w:r>
      <w:r>
        <w:rPr>
          <w:rFonts w:ascii="Times New Roman" w:hAnsi="Times New Roman" w:eastAsia="仿宋_GB2312"/>
          <w:color w:val="000000"/>
          <w:sz w:val="32"/>
          <w:szCs w:val="32"/>
        </w:rPr>
        <w:t>年部门整体支出绩效自评情况将在</w:t>
      </w:r>
      <w:r>
        <w:rPr>
          <w:rFonts w:hint="eastAsia" w:ascii="Times New Roman" w:hAnsi="Times New Roman" w:eastAsia="仿宋_GB2312"/>
          <w:color w:val="000000"/>
          <w:sz w:val="32"/>
          <w:szCs w:val="32"/>
        </w:rPr>
        <w:t>我局</w:t>
      </w:r>
      <w:r>
        <w:rPr>
          <w:rFonts w:ascii="Times New Roman" w:hAnsi="Times New Roman" w:eastAsia="仿宋_GB2312"/>
          <w:color w:val="000000"/>
          <w:sz w:val="32"/>
          <w:szCs w:val="32"/>
        </w:rPr>
        <w:t>门户网站公开，接受社会监督。对绩效自评工作中发现的问题及时整改，解决好绩效评价管理中存在的问题提高工作效能。根据部门整体支出绩效评价指标评分标准，20</w:t>
      </w:r>
      <w:r>
        <w:rPr>
          <w:rFonts w:hint="eastAsia" w:ascii="Times New Roman" w:hAnsi="Times New Roman" w:eastAsia="仿宋_GB2312"/>
          <w:color w:val="000000"/>
          <w:sz w:val="32"/>
          <w:szCs w:val="32"/>
        </w:rPr>
        <w:t>24</w:t>
      </w:r>
      <w:r>
        <w:rPr>
          <w:rFonts w:ascii="Times New Roman" w:hAnsi="Times New Roman" w:eastAsia="仿宋_GB2312"/>
          <w:color w:val="000000"/>
          <w:sz w:val="32"/>
          <w:szCs w:val="32"/>
        </w:rPr>
        <w:t>年我单位部门整体绩效评价自评分为</w:t>
      </w:r>
      <w:r>
        <w:rPr>
          <w:rFonts w:hint="eastAsia" w:ascii="Times New Roman" w:hAnsi="Times New Roman" w:eastAsia="仿宋_GB2312"/>
          <w:color w:val="000000"/>
          <w:sz w:val="32"/>
          <w:szCs w:val="32"/>
        </w:rPr>
        <w:t>97.64</w:t>
      </w:r>
      <w:r>
        <w:rPr>
          <w:rFonts w:ascii="Times New Roman" w:hAnsi="Times New Roman" w:eastAsia="仿宋_GB2312"/>
          <w:color w:val="000000"/>
          <w:sz w:val="32"/>
          <w:szCs w:val="32"/>
        </w:rPr>
        <w:t>分</w:t>
      </w:r>
      <w:r>
        <w:rPr>
          <w:rFonts w:hint="eastAsia" w:ascii="Times New Roman" w:hAnsi="Times New Roman" w:eastAsia="仿宋_GB2312"/>
          <w:color w:val="000000"/>
          <w:sz w:val="32"/>
          <w:szCs w:val="32"/>
          <w:lang w:eastAsia="zh-CN"/>
        </w:rPr>
        <w:t>。</w:t>
      </w:r>
    </w:p>
    <w:p>
      <w:pPr>
        <w:pStyle w:val="15"/>
        <w:jc w:val="both"/>
        <w:rPr>
          <w:rFonts w:hint="eastAsia" w:ascii="方正小标宋_GBK" w:hAnsi="方正小标宋_GBK" w:eastAsia="方正小标宋_GBK" w:cs="方正小标宋_GBK"/>
          <w:sz w:val="24"/>
          <w:szCs w:val="24"/>
        </w:rPr>
      </w:pPr>
    </w:p>
    <w:p>
      <w:pPr>
        <w:pStyle w:val="15"/>
        <w:jc w:val="center"/>
        <w:rPr>
          <w:rFonts w:hint="eastAsia" w:ascii="方正小标宋_GBK" w:hAnsi="方正小标宋_GBK" w:eastAsia="方正小标宋_GBK" w:cs="方正小标宋_GBK"/>
          <w:sz w:val="72"/>
          <w:szCs w:val="72"/>
        </w:rPr>
      </w:pPr>
    </w:p>
    <w:p>
      <w:pPr>
        <w:pStyle w:val="15"/>
        <w:jc w:val="center"/>
        <w:rPr>
          <w:rFonts w:hint="eastAsia" w:ascii="方正小标宋_GBK" w:hAnsi="方正小标宋_GBK" w:eastAsia="方正小标宋_GBK" w:cs="方正小标宋_GBK"/>
          <w:sz w:val="72"/>
          <w:szCs w:val="72"/>
        </w:rPr>
      </w:pPr>
    </w:p>
    <w:p>
      <w:pPr>
        <w:pStyle w:val="15"/>
        <w:jc w:val="center"/>
        <w:rPr>
          <w:rFonts w:hint="eastAsia" w:ascii="方正小标宋_GBK" w:hAnsi="方正小标宋_GBK" w:eastAsia="方正小标宋_GBK" w:cs="方正小标宋_GBK"/>
          <w:sz w:val="72"/>
          <w:szCs w:val="72"/>
        </w:rPr>
      </w:pPr>
    </w:p>
    <w:p>
      <w:pPr>
        <w:pStyle w:val="15"/>
        <w:jc w:val="center"/>
        <w:rPr>
          <w:rFonts w:hint="eastAsia" w:ascii="方正小标宋_GBK" w:hAnsi="方正小标宋_GBK" w:eastAsia="方正小标宋_GBK" w:cs="方正小标宋_GBK"/>
          <w:sz w:val="72"/>
          <w:szCs w:val="72"/>
        </w:rPr>
      </w:pPr>
    </w:p>
    <w:p>
      <w:pPr>
        <w:pStyle w:val="15"/>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pPr>
        <w:jc w:val="center"/>
        <w:rPr>
          <w:rFonts w:hint="eastAsia" w:ascii="方正小标宋_GBK" w:hAnsi="方正小标宋_GBK" w:eastAsia="方正小标宋_GBK" w:cs="方正小标宋_GBK"/>
          <w:color w:val="000000"/>
          <w:kern w:val="0"/>
          <w:sz w:val="70"/>
          <w:szCs w:val="70"/>
        </w:rPr>
      </w:pPr>
    </w:p>
    <w:p>
      <w:pPr>
        <w:pStyle w:val="15"/>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color w:val="000000"/>
          <w:kern w:val="0"/>
          <w:sz w:val="70"/>
          <w:szCs w:val="70"/>
        </w:rPr>
        <w:t>名词解释</w:t>
      </w:r>
    </w:p>
    <w:p>
      <w:pPr>
        <w:pStyle w:val="8"/>
      </w:pPr>
    </w:p>
    <w:p>
      <w:pPr>
        <w:pStyle w:val="4"/>
      </w:pPr>
    </w:p>
    <w:p/>
    <w:p>
      <w:pPr>
        <w:pStyle w:val="8"/>
      </w:pPr>
    </w:p>
    <w:p>
      <w:pPr>
        <w:pStyle w:val="4"/>
      </w:pPr>
    </w:p>
    <w:p/>
    <w:p>
      <w:pPr>
        <w:pStyle w:val="8"/>
      </w:pPr>
    </w:p>
    <w:p>
      <w:pPr>
        <w:pStyle w:val="4"/>
      </w:pPr>
    </w:p>
    <w:p/>
    <w:p>
      <w:pPr>
        <w:pStyle w:val="8"/>
      </w:pPr>
    </w:p>
    <w:p>
      <w:pPr>
        <w:pStyle w:val="4"/>
      </w:pPr>
    </w:p>
    <w:p/>
    <w:p>
      <w:pPr>
        <w:pStyle w:val="8"/>
      </w:pPr>
    </w:p>
    <w:p>
      <w:pPr>
        <w:pStyle w:val="4"/>
      </w:pPr>
    </w:p>
    <w:p/>
    <w:p>
      <w:pPr>
        <w:pStyle w:val="8"/>
      </w:pPr>
    </w:p>
    <w:p>
      <w:pPr>
        <w:ind w:firstLine="640" w:firstLineChars="200"/>
        <w:jc w:val="left"/>
        <w:rPr>
          <w:rFonts w:hint="eastAsia" w:ascii="仿宋_GB2312" w:hAnsi="仿宋_GB2312" w:eastAsia="仿宋_GB2312" w:cs="仿宋_GB2312"/>
          <w:color w:val="000000"/>
          <w:kern w:val="0"/>
          <w:sz w:val="32"/>
          <w:szCs w:val="32"/>
        </w:rPr>
      </w:pPr>
    </w:p>
    <w:p>
      <w:pPr>
        <w:ind w:firstLine="640" w:firstLineChars="200"/>
        <w:jc w:val="left"/>
        <w:rPr>
          <w:rFonts w:hint="eastAsia" w:ascii="仿宋_GB2312" w:hAnsi="仿宋_GB2312" w:eastAsia="仿宋_GB2312" w:cs="仿宋_GB2312"/>
          <w:color w:val="000000"/>
          <w:kern w:val="0"/>
          <w:sz w:val="32"/>
          <w:szCs w:val="32"/>
        </w:rPr>
      </w:pPr>
    </w:p>
    <w:p>
      <w:pPr>
        <w:ind w:firstLine="640" w:firstLineChars="200"/>
        <w:jc w:val="left"/>
        <w:rPr>
          <w:rFonts w:hint="eastAsia" w:ascii="仿宋_GB2312" w:hAnsi="仿宋_GB2312" w:eastAsia="仿宋_GB2312" w:cs="仿宋_GB2312"/>
          <w:color w:val="000000"/>
          <w:kern w:val="0"/>
          <w:sz w:val="32"/>
          <w:szCs w:val="32"/>
        </w:rPr>
      </w:pPr>
    </w:p>
    <w:p>
      <w:pPr>
        <w:pStyle w:val="8"/>
        <w:rPr>
          <w:rFonts w:hint="eastAsia"/>
        </w:rPr>
      </w:pPr>
    </w:p>
    <w:p>
      <w:pPr>
        <w:ind w:firstLine="640" w:firstLineChars="200"/>
        <w:jc w:val="left"/>
        <w:rPr>
          <w:rFonts w:hint="eastAsia" w:ascii="仿宋_GB2312" w:hAnsi="仿宋_GB2312" w:eastAsia="仿宋_GB2312" w:cs="仿宋_GB2312"/>
          <w:color w:val="000000"/>
          <w:kern w:val="0"/>
          <w:sz w:val="32"/>
          <w:szCs w:val="32"/>
        </w:rPr>
      </w:pP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二、机关运行经费</w:t>
      </w:r>
      <w:r>
        <w:rPr>
          <w:rFonts w:hint="eastAsia" w:ascii="仿宋_GB2312" w:hAnsi="仿宋_GB2312" w:eastAsia="仿宋_GB2312" w:cs="仿宋_GB2312"/>
          <w:color w:val="000000"/>
          <w:kern w:val="0"/>
          <w:sz w:val="32"/>
          <w:szCs w:val="32"/>
          <w:lang w:eastAsia="zh-CN"/>
        </w:rPr>
        <w:t>，指为保障行政单位（包括参照公务员法管理的事业单位）运行用于购买货物和服务的各项资金</w:t>
      </w:r>
      <w:r>
        <w:rPr>
          <w:rFonts w:hint="eastAsia" w:ascii="仿宋_GB2312" w:hAnsi="仿宋_GB2312" w:eastAsia="仿宋_GB2312" w:cs="仿宋_GB2312"/>
          <w:color w:val="000000"/>
          <w:kern w:val="0"/>
          <w:sz w:val="32"/>
          <w:szCs w:val="32"/>
        </w:rPr>
        <w:t>，包括办公</w:t>
      </w:r>
      <w:r>
        <w:rPr>
          <w:rFonts w:hint="eastAsia" w:ascii="仿宋_GB2312" w:hAnsi="仿宋_GB2312" w:eastAsia="仿宋_GB2312" w:cs="仿宋_GB2312"/>
          <w:color w:val="000000"/>
          <w:kern w:val="0"/>
          <w:sz w:val="32"/>
          <w:szCs w:val="32"/>
          <w:lang w:eastAsia="zh-CN"/>
        </w:rPr>
        <w:t>费、</w:t>
      </w:r>
      <w:r>
        <w:rPr>
          <w:rFonts w:hint="eastAsia" w:ascii="仿宋_GB2312" w:hAnsi="仿宋_GB2312" w:eastAsia="仿宋_GB2312" w:cs="仿宋_GB2312"/>
          <w:color w:val="000000"/>
          <w:kern w:val="0"/>
          <w:sz w:val="32"/>
          <w:szCs w:val="32"/>
        </w:rPr>
        <w:t>印刷费、邮电费、差旅费、会议费、日常维修费、专用材料及一般设备购置费、办公用房水电费、办公用房取暖费、办公用房物业管理费、公务用车运行维护费以及其他费用。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bCs/>
          <w:i/>
          <w:color w:val="FF0000"/>
          <w:kern w:val="0"/>
          <w:sz w:val="32"/>
          <w:szCs w:val="32"/>
          <w:lang w:val="en-US" w:eastAsia="zh-CN" w:bidi="ar-SA"/>
        </w:rPr>
      </w:pPr>
    </w:p>
    <w:p>
      <w:pPr>
        <w:pStyle w:val="15"/>
        <w:jc w:val="center"/>
        <w:rPr>
          <w:rFonts w:hint="eastAsia" w:ascii="仿宋_GB2312" w:hAnsi="仿宋_GB2312" w:eastAsia="仿宋_GB2312" w:cs="仿宋_GB2312"/>
          <w:sz w:val="32"/>
          <w:szCs w:val="32"/>
        </w:rPr>
      </w:pPr>
      <w:bookmarkStart w:id="0" w:name="_GoBack"/>
      <w:bookmarkEnd w:id="0"/>
    </w:p>
    <w:p>
      <w:pPr>
        <w:pStyle w:val="4"/>
      </w:pPr>
    </w:p>
    <w:p/>
    <w:p>
      <w:pPr>
        <w:pStyle w:val="8"/>
      </w:pPr>
    </w:p>
    <w:p>
      <w:pPr>
        <w:pStyle w:val="4"/>
      </w:pPr>
    </w:p>
    <w:p/>
    <w:p>
      <w:pPr>
        <w:pStyle w:val="8"/>
      </w:pPr>
    </w:p>
    <w:p>
      <w:pPr>
        <w:pStyle w:val="4"/>
      </w:pPr>
    </w:p>
    <w:p/>
    <w:p>
      <w:pPr>
        <w:pStyle w:val="8"/>
      </w:pPr>
    </w:p>
    <w:p>
      <w:pPr>
        <w:pStyle w:val="4"/>
      </w:pPr>
    </w:p>
    <w:p/>
    <w:p>
      <w:pPr>
        <w:pStyle w:val="8"/>
      </w:pPr>
    </w:p>
    <w:p>
      <w:pPr>
        <w:pStyle w:val="4"/>
      </w:pPr>
    </w:p>
    <w:p/>
    <w:p>
      <w:pPr>
        <w:pStyle w:val="8"/>
      </w:pPr>
    </w:p>
    <w:p>
      <w:pPr>
        <w:pStyle w:val="4"/>
      </w:pPr>
    </w:p>
    <w:p/>
    <w:p>
      <w:pPr>
        <w:pStyle w:val="8"/>
      </w:pPr>
    </w:p>
    <w:p>
      <w:pPr>
        <w:pStyle w:val="4"/>
      </w:pPr>
    </w:p>
    <w:p/>
    <w:p/>
    <w:p>
      <w:pPr>
        <w:pStyle w:val="8"/>
      </w:pPr>
    </w:p>
    <w:p>
      <w:pPr>
        <w:pStyle w:val="15"/>
        <w:jc w:val="both"/>
        <w:rPr>
          <w:rFonts w:hint="eastAsia" w:ascii="方正小标宋_GBK" w:hAnsi="方正小标宋_GBK" w:eastAsia="方正小标宋_GBK" w:cs="方正小标宋_GBK"/>
          <w:sz w:val="72"/>
          <w:szCs w:val="72"/>
        </w:rPr>
      </w:pPr>
    </w:p>
    <w:p>
      <w:pPr>
        <w:pStyle w:val="15"/>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2"/>
          <w:szCs w:val="72"/>
        </w:rPr>
        <w:t>第</w:t>
      </w:r>
      <w:r>
        <w:rPr>
          <w:rFonts w:hint="eastAsia" w:ascii="方正小标宋_GBK" w:hAnsi="方正小标宋_GBK" w:eastAsia="方正小标宋_GBK" w:cs="方正小标宋_GBK"/>
          <w:sz w:val="72"/>
          <w:szCs w:val="72"/>
          <w:lang w:eastAsia="zh-CN"/>
        </w:rPr>
        <w:t>五</w:t>
      </w:r>
      <w:r>
        <w:rPr>
          <w:rFonts w:hint="eastAsia" w:ascii="方正小标宋_GBK" w:hAnsi="方正小标宋_GBK" w:eastAsia="方正小标宋_GBK" w:cs="方正小标宋_GBK"/>
          <w:sz w:val="72"/>
          <w:szCs w:val="72"/>
        </w:rPr>
        <w:t>部分</w:t>
      </w:r>
    </w:p>
    <w:p>
      <w:pPr>
        <w:pStyle w:val="15"/>
        <w:jc w:val="both"/>
        <w:rPr>
          <w:rFonts w:hint="eastAsia" w:ascii="方正小标宋_GBK" w:hAnsi="方正小标宋_GBK" w:eastAsia="方正小标宋_GBK" w:cs="方正小标宋_GBK"/>
          <w:sz w:val="70"/>
          <w:szCs w:val="70"/>
          <w:lang w:eastAsia="zh-CN"/>
        </w:rPr>
      </w:pPr>
    </w:p>
    <w:p>
      <w:pPr>
        <w:pStyle w:val="15"/>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sz w:val="70"/>
          <w:szCs w:val="70"/>
          <w:lang w:eastAsia="zh-CN"/>
        </w:rPr>
        <w:t>附</w:t>
      </w:r>
      <w:r>
        <w:rPr>
          <w:rFonts w:hint="eastAsia" w:ascii="方正小标宋_GBK" w:hAnsi="方正小标宋_GBK" w:eastAsia="方正小标宋_GBK" w:cs="方正小标宋_GBK"/>
          <w:sz w:val="70"/>
          <w:szCs w:val="70"/>
          <w:lang w:val="en-US" w:eastAsia="zh-CN"/>
        </w:rPr>
        <w:t xml:space="preserve"> </w:t>
      </w:r>
      <w:r>
        <w:rPr>
          <w:rFonts w:hint="eastAsia" w:ascii="方正小标宋_GBK" w:hAnsi="方正小标宋_GBK" w:eastAsia="方正小标宋_GBK" w:cs="方正小标宋_GBK"/>
          <w:sz w:val="70"/>
          <w:szCs w:val="70"/>
          <w:lang w:eastAsia="zh-CN"/>
        </w:rPr>
        <w:t>件</w:t>
      </w:r>
    </w:p>
    <w:p>
      <w:pPr>
        <w:ind w:firstLine="640" w:firstLineChars="200"/>
        <w:jc w:val="left"/>
        <w:rPr>
          <w:rFonts w:hint="eastAsia" w:ascii="宋体" w:hAnsi="宋体" w:eastAsia="宋体" w:cs="黑体"/>
          <w:b/>
          <w:color w:val="000000"/>
          <w:kern w:val="0"/>
          <w:sz w:val="32"/>
          <w:szCs w:val="32"/>
          <w:lang w:val="en-US" w:eastAsia="zh-CN"/>
        </w:rPr>
      </w:pPr>
    </w:p>
    <w:p>
      <w:pPr>
        <w:ind w:firstLine="640" w:firstLineChars="200"/>
        <w:jc w:val="left"/>
        <w:rPr>
          <w:rFonts w:hint="eastAsia" w:ascii="宋体" w:hAnsi="宋体" w:eastAsia="宋体" w:cs="黑体"/>
          <w:b/>
          <w:color w:val="000000"/>
          <w:kern w:val="0"/>
          <w:sz w:val="32"/>
          <w:szCs w:val="32"/>
          <w:lang w:val="en-US" w:eastAsia="zh-CN"/>
        </w:rPr>
      </w:pPr>
      <w:r>
        <w:rPr>
          <w:rFonts w:hint="eastAsia" w:ascii="宋体" w:hAnsi="宋体" w:eastAsia="宋体" w:cs="黑体"/>
          <w:b/>
          <w:color w:val="000000"/>
          <w:kern w:val="0"/>
          <w:sz w:val="32"/>
          <w:szCs w:val="32"/>
          <w:lang w:val="en-US" w:eastAsia="zh-CN"/>
        </w:rPr>
        <w:t>1、</w:t>
      </w:r>
      <w:r>
        <w:rPr>
          <w:rFonts w:hint="eastAsia" w:ascii="宋体" w:hAnsi="宋体" w:eastAsia="宋体" w:cs="黑体"/>
          <w:b/>
          <w:color w:val="000000"/>
          <w:kern w:val="0"/>
          <w:sz w:val="32"/>
          <w:szCs w:val="32"/>
          <w:highlight w:val="none"/>
          <w:lang w:val="en-US" w:eastAsia="zh-CN"/>
        </w:rPr>
        <w:t>2024</w:t>
      </w:r>
      <w:r>
        <w:rPr>
          <w:rFonts w:hint="eastAsia" w:ascii="宋体" w:hAnsi="宋体" w:eastAsia="宋体" w:cs="黑体"/>
          <w:b/>
          <w:color w:val="000000"/>
          <w:kern w:val="0"/>
          <w:sz w:val="32"/>
          <w:szCs w:val="32"/>
          <w:lang w:val="en-US" w:eastAsia="zh-CN"/>
        </w:rPr>
        <w:t>年部门决算公开表格</w:t>
      </w:r>
    </w:p>
    <w:p>
      <w:pPr>
        <w:ind w:firstLine="640" w:firstLineChars="200"/>
        <w:jc w:val="left"/>
        <w:rPr>
          <w:rFonts w:ascii="宋体" w:hAnsi="宋体" w:eastAsia="宋体" w:cs="黑体"/>
          <w:color w:val="000000"/>
          <w:kern w:val="0"/>
          <w:sz w:val="32"/>
          <w:szCs w:val="32"/>
        </w:rPr>
      </w:pPr>
      <w:r>
        <w:rPr>
          <w:rFonts w:hint="eastAsia" w:ascii="宋体" w:hAnsi="宋体" w:eastAsia="宋体" w:cs="黑体"/>
          <w:b/>
          <w:color w:val="000000"/>
          <w:kern w:val="0"/>
          <w:sz w:val="32"/>
          <w:szCs w:val="32"/>
          <w:lang w:val="en-US" w:eastAsia="zh-CN"/>
        </w:rPr>
        <w:t>2、</w:t>
      </w:r>
      <w:r>
        <w:rPr>
          <w:rFonts w:hint="eastAsia" w:ascii="宋体" w:hAnsi="宋体" w:eastAsia="宋体" w:cs="黑体"/>
          <w:b/>
          <w:color w:val="000000"/>
          <w:kern w:val="0"/>
          <w:sz w:val="32"/>
          <w:szCs w:val="32"/>
          <w:highlight w:val="none"/>
        </w:rPr>
        <w:t>202</w:t>
      </w:r>
      <w:r>
        <w:rPr>
          <w:rFonts w:hint="eastAsia" w:ascii="宋体" w:hAnsi="宋体" w:eastAsia="宋体" w:cs="黑体"/>
          <w:b/>
          <w:color w:val="000000"/>
          <w:kern w:val="0"/>
          <w:sz w:val="32"/>
          <w:szCs w:val="32"/>
          <w:highlight w:val="none"/>
          <w:lang w:val="en-US" w:eastAsia="zh-CN"/>
        </w:rPr>
        <w:t>4</w:t>
      </w:r>
      <w:r>
        <w:rPr>
          <w:rFonts w:hint="eastAsia" w:ascii="宋体" w:hAnsi="宋体" w:eastAsia="宋体" w:cs="黑体"/>
          <w:b/>
          <w:color w:val="000000"/>
          <w:kern w:val="0"/>
          <w:sz w:val="32"/>
          <w:szCs w:val="32"/>
        </w:rPr>
        <w:t>年度部门整体支出绩效评价报告</w:t>
      </w:r>
    </w:p>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DECFD4"/>
    <w:multiLevelType w:val="singleLevel"/>
    <w:tmpl w:val="8EDECFD4"/>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B4D8E"/>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59958AD"/>
    <w:rsid w:val="06C857E7"/>
    <w:rsid w:val="08C24A73"/>
    <w:rsid w:val="11944E2C"/>
    <w:rsid w:val="12583BA5"/>
    <w:rsid w:val="13BA5B9C"/>
    <w:rsid w:val="1D97DEFF"/>
    <w:rsid w:val="1DFF72E5"/>
    <w:rsid w:val="1EFC6F07"/>
    <w:rsid w:val="1F0527A6"/>
    <w:rsid w:val="22AC03C2"/>
    <w:rsid w:val="283B15FE"/>
    <w:rsid w:val="2DFF2FAE"/>
    <w:rsid w:val="2FDF85B8"/>
    <w:rsid w:val="2FFFEE04"/>
    <w:rsid w:val="31C95635"/>
    <w:rsid w:val="34DF85B0"/>
    <w:rsid w:val="3B8F36BC"/>
    <w:rsid w:val="43EB5BA5"/>
    <w:rsid w:val="47F1B11B"/>
    <w:rsid w:val="491FF225"/>
    <w:rsid w:val="4EC310A1"/>
    <w:rsid w:val="4FFD214C"/>
    <w:rsid w:val="507F474E"/>
    <w:rsid w:val="5352765A"/>
    <w:rsid w:val="559A850C"/>
    <w:rsid w:val="5777D4F5"/>
    <w:rsid w:val="57F22B6F"/>
    <w:rsid w:val="59DD8326"/>
    <w:rsid w:val="5DEF592A"/>
    <w:rsid w:val="5FC6BB1E"/>
    <w:rsid w:val="5FF720F1"/>
    <w:rsid w:val="622964C1"/>
    <w:rsid w:val="676F9FA5"/>
    <w:rsid w:val="67FF5C0B"/>
    <w:rsid w:val="6BAA4A2F"/>
    <w:rsid w:val="6DDEC5C0"/>
    <w:rsid w:val="6EFC0924"/>
    <w:rsid w:val="6FB74722"/>
    <w:rsid w:val="6FDB94EA"/>
    <w:rsid w:val="6FEF8B7E"/>
    <w:rsid w:val="717FE77F"/>
    <w:rsid w:val="71A6591B"/>
    <w:rsid w:val="737D59BA"/>
    <w:rsid w:val="737F32B1"/>
    <w:rsid w:val="73BD3FCA"/>
    <w:rsid w:val="776BDA01"/>
    <w:rsid w:val="77C37683"/>
    <w:rsid w:val="79FF515B"/>
    <w:rsid w:val="7DFBFF20"/>
    <w:rsid w:val="7E9E1962"/>
    <w:rsid w:val="7E9F11B4"/>
    <w:rsid w:val="7EFEA942"/>
    <w:rsid w:val="7F37EC1E"/>
    <w:rsid w:val="7F56F09D"/>
    <w:rsid w:val="7F7C0DDA"/>
    <w:rsid w:val="7F7DCD9D"/>
    <w:rsid w:val="7F970A6F"/>
    <w:rsid w:val="7FC1FFF3"/>
    <w:rsid w:val="7FC69637"/>
    <w:rsid w:val="7FDF8620"/>
    <w:rsid w:val="7FFB242F"/>
    <w:rsid w:val="7FFDB408"/>
    <w:rsid w:val="7FFE4EEB"/>
    <w:rsid w:val="89B7CFA8"/>
    <w:rsid w:val="95FB2B98"/>
    <w:rsid w:val="97F3C8D6"/>
    <w:rsid w:val="9A639BC2"/>
    <w:rsid w:val="9E5F03CC"/>
    <w:rsid w:val="9FF7D786"/>
    <w:rsid w:val="ABBFB23D"/>
    <w:rsid w:val="B6BE5A03"/>
    <w:rsid w:val="B6DFDDFA"/>
    <w:rsid w:val="B8C93228"/>
    <w:rsid w:val="BFB7B0C3"/>
    <w:rsid w:val="C3B4DA5A"/>
    <w:rsid w:val="C4FF458C"/>
    <w:rsid w:val="C7BBD038"/>
    <w:rsid w:val="CBFF70E0"/>
    <w:rsid w:val="CFF50B82"/>
    <w:rsid w:val="CFFFAD89"/>
    <w:rsid w:val="DFFE359E"/>
    <w:rsid w:val="DFFE4FFD"/>
    <w:rsid w:val="DFFF5403"/>
    <w:rsid w:val="EBC3E00A"/>
    <w:rsid w:val="EDFBE100"/>
    <w:rsid w:val="EEABED75"/>
    <w:rsid w:val="EF7E8003"/>
    <w:rsid w:val="F56FDF51"/>
    <w:rsid w:val="F5F3EE78"/>
    <w:rsid w:val="F6B69F17"/>
    <w:rsid w:val="F6E5BB3A"/>
    <w:rsid w:val="F77B9A89"/>
    <w:rsid w:val="F77F1D61"/>
    <w:rsid w:val="F7FED3A9"/>
    <w:rsid w:val="F8C9DB26"/>
    <w:rsid w:val="F97E8EAE"/>
    <w:rsid w:val="FAB7A9DF"/>
    <w:rsid w:val="FB36E1A6"/>
    <w:rsid w:val="FB3BE134"/>
    <w:rsid w:val="FCFF4275"/>
    <w:rsid w:val="FD7FEEEA"/>
    <w:rsid w:val="FDFFB577"/>
    <w:rsid w:val="FEEA50FE"/>
    <w:rsid w:val="FF7D47A9"/>
    <w:rsid w:val="FFCF21CB"/>
    <w:rsid w:val="FFF34C32"/>
    <w:rsid w:val="FFF94102"/>
    <w:rsid w:val="FFFF1C8B"/>
    <w:rsid w:val="FFFF74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unhideWhenUsed/>
    <w:qFormat/>
    <w:uiPriority w:val="99"/>
    <w:pPr>
      <w:spacing w:after="120"/>
    </w:pPr>
  </w:style>
  <w:style w:type="paragraph" w:styleId="3">
    <w:name w:val="Body Text Indent"/>
    <w:basedOn w:val="1"/>
    <w:next w:val="4"/>
    <w:unhideWhenUsed/>
    <w:qFormat/>
    <w:uiPriority w:val="99"/>
    <w:pPr>
      <w:widowControl/>
      <w:spacing w:after="120"/>
      <w:ind w:left="420" w:leftChars="200"/>
      <w:jc w:val="left"/>
    </w:pPr>
    <w:rPr>
      <w:rFonts w:ascii="宋体" w:hAnsi="宋体" w:eastAsia="宋体" w:cs="宋体"/>
      <w:kern w:val="0"/>
      <w:sz w:val="24"/>
    </w:rPr>
  </w:style>
  <w:style w:type="paragraph" w:styleId="4">
    <w:name w:val="Body Text First Indent 2"/>
    <w:basedOn w:val="3"/>
    <w:next w:val="1"/>
    <w:unhideWhenUsed/>
    <w:qFormat/>
    <w:uiPriority w:val="99"/>
    <w:pPr>
      <w:ind w:firstLine="420" w:firstLineChars="200"/>
    </w:pPr>
  </w:style>
  <w:style w:type="paragraph" w:styleId="5">
    <w:name w:val="Balloon Text"/>
    <w:basedOn w:val="1"/>
    <w:link w:val="17"/>
    <w:semiHidden/>
    <w:unhideWhenUsed/>
    <w:qFormat/>
    <w:uiPriority w:val="99"/>
    <w:rPr>
      <w:sz w:val="18"/>
      <w:szCs w:val="18"/>
    </w:rPr>
  </w:style>
  <w:style w:type="paragraph" w:styleId="6">
    <w:name w:val="footer"/>
    <w:basedOn w:val="1"/>
    <w:link w:val="14"/>
    <w:unhideWhenUsed/>
    <w:qFormat/>
    <w:uiPriority w:val="99"/>
    <w:pPr>
      <w:tabs>
        <w:tab w:val="center" w:pos="4153"/>
        <w:tab w:val="right" w:pos="8306"/>
      </w:tabs>
      <w:snapToGrid w:val="0"/>
      <w:jc w:val="left"/>
    </w:pPr>
    <w:rPr>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footnote text"/>
    <w:basedOn w:val="1"/>
    <w:next w:val="4"/>
    <w:semiHidden/>
    <w:qFormat/>
    <w:uiPriority w:val="0"/>
    <w:pPr>
      <w:snapToGrid w:val="0"/>
      <w:jc w:val="left"/>
    </w:pPr>
    <w:rPr>
      <w:sz w:val="18"/>
      <w:szCs w:val="18"/>
    </w:rPr>
  </w:style>
  <w:style w:type="paragraph" w:styleId="9">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0">
    <w:name w:val="Normal (Web)"/>
    <w:basedOn w:val="1"/>
    <w:qFormat/>
    <w:uiPriority w:val="0"/>
    <w:pPr>
      <w:spacing w:before="100" w:beforeAutospacing="1" w:after="100" w:afterAutospacing="1"/>
      <w:ind w:left="0" w:right="0"/>
      <w:jc w:val="left"/>
    </w:pPr>
    <w:rPr>
      <w:kern w:val="0"/>
      <w:sz w:val="24"/>
      <w:lang w:val="en-US" w:eastAsia="zh-CN" w:bidi="ar"/>
    </w:rPr>
  </w:style>
  <w:style w:type="character" w:customStyle="1" w:styleId="13">
    <w:name w:val="页眉 Char"/>
    <w:basedOn w:val="12"/>
    <w:link w:val="7"/>
    <w:qFormat/>
    <w:uiPriority w:val="99"/>
    <w:rPr>
      <w:sz w:val="18"/>
      <w:szCs w:val="18"/>
    </w:rPr>
  </w:style>
  <w:style w:type="character" w:customStyle="1" w:styleId="14">
    <w:name w:val="页脚 Char"/>
    <w:basedOn w:val="12"/>
    <w:link w:val="6"/>
    <w:qFormat/>
    <w:uiPriority w:val="99"/>
    <w:rPr>
      <w:sz w:val="18"/>
      <w:szCs w:val="18"/>
    </w:rPr>
  </w:style>
  <w:style w:type="paragraph" w:customStyle="1" w:styleId="15">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6">
    <w:name w:val="List Paragraph"/>
    <w:basedOn w:val="1"/>
    <w:qFormat/>
    <w:uiPriority w:val="34"/>
    <w:pPr>
      <w:ind w:firstLine="420" w:firstLineChars="200"/>
    </w:pPr>
  </w:style>
  <w:style w:type="character" w:customStyle="1" w:styleId="17">
    <w:name w:val="批注框文本 Char"/>
    <w:basedOn w:val="12"/>
    <w:link w:val="5"/>
    <w:semiHidden/>
    <w:qFormat/>
    <w:uiPriority w:val="99"/>
    <w:rPr>
      <w:sz w:val="18"/>
      <w:szCs w:val="18"/>
    </w:rPr>
  </w:style>
  <w:style w:type="character" w:customStyle="1" w:styleId="18">
    <w:name w:val="font01"/>
    <w:basedOn w:val="12"/>
    <w:qFormat/>
    <w:uiPriority w:val="0"/>
    <w:rPr>
      <w:rFonts w:hint="eastAsia" w:ascii="宋体" w:hAnsi="宋体" w:eastAsia="宋体" w:cs="宋体"/>
      <w:color w:val="000000"/>
      <w:sz w:val="22"/>
      <w:szCs w:val="22"/>
      <w:u w:val="none"/>
    </w:rPr>
  </w:style>
  <w:style w:type="character" w:customStyle="1" w:styleId="19">
    <w:name w:val="font21"/>
    <w:basedOn w:val="12"/>
    <w:qFormat/>
    <w:uiPriority w:val="0"/>
    <w:rPr>
      <w:rFonts w:hint="eastAsia" w:ascii="宋体" w:hAnsi="宋体" w:eastAsia="宋体" w:cs="宋体"/>
      <w:color w:val="000000"/>
      <w:sz w:val="24"/>
      <w:szCs w:val="24"/>
      <w:u w:val="none"/>
    </w:rPr>
  </w:style>
  <w:style w:type="character" w:customStyle="1" w:styleId="20">
    <w:name w:val="font11"/>
    <w:basedOn w:val="12"/>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20</Pages>
  <Words>1347</Words>
  <Characters>7679</Characters>
  <Lines>63</Lines>
  <Paragraphs>18</Paragraphs>
  <TotalTime>1</TotalTime>
  <ScaleCrop>false</ScaleCrop>
  <LinksUpToDate>false</LinksUpToDate>
  <CharactersWithSpaces>9008</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2020-07-12T10:32:00Z</dcterms:created>
  <dc:creator>李航 null</dc:creator>
  <cp:lastModifiedBy>yyadmin</cp:lastModifiedBy>
  <cp:lastPrinted>2024-08-12T18:20:00Z</cp:lastPrinted>
  <dcterms:modified xsi:type="dcterms:W3CDTF">2025-09-25T15:17:52Z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98623D6660B449428EB8E073C6C952EA</vt:lpwstr>
  </property>
</Properties>
</file>